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ATAS/844/2010 vom 13. April 2010</w:t>
      </w:r>
    </w:p>
    <w:p>
      <w:r>
        <w:t>GE Cour de justice, 2010-04-13, FR</w:t>
      </w:r>
    </w:p>
    <w:p>
      <w:r>
        <w:rPr>
          <w:b/>
        </w:rPr>
        <w:t xml:space="preserve">Quelle: </w:t>
      </w:r>
      <w:r>
        <w:t>https://mcp.opencaselaw.ch/entscheid/ge_gerichte_ATAS_844_2010</w:t>
      </w:r>
    </w:p>
    <w:p>
      <w:r>
        <w:t>FR: GE_GERICHTE ATAS/844/2010 du 13 avril 2010</w:t>
      </w:r>
    </w:p>
    <w:p>
      <w:r>
        <w:t>IT: GE_GERICHTE ATAS/844/2010 del 13 aprile 2010</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w:t>
      </w:r>
    </w:p>
    <w:p>
      <w:r>
        <w:t>A/1798/2010 3/7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Les demandeurs ont saisi le Tribunal de céans d'une requête en reconnaissance, exéquatur et partage des avoirs LPP. L'art. 29 LDIP définit la procédure de la reconnaissance des décisions étrangères. Selon l'alinéa 1, la requête en reconnaissance ou en exécution sera adressée à l’autorité compétente du canton où la décision étrangère est invoquée. Elle sera accompagnée d’une expédition complète et authentique de la décision (a), d’une attestation constatant que la décision n’est plus susceptible de recours ordinaire ou qu’elle est définitive (b), et, en cas de jugement par défaut, d’un document officiel établissant que le défaillant a été cité régulièrement et qu’il a eu la possibilité de faire valoir ses moyens (c). La partie qui s’oppose à la reconnaissance et à l’exécution est entendue dans la procédure; elle peut y faire valoir ses moyens (art. 29 al. 2 LDIP). Enfin, lorsqu’une décision étrangère est invoquée à titre préalable, l’autorité saisie peut statuer elle- même sur la reconnaissance (art. 20 al. 3 LDIP). En l'occurrence, les demandeurs ont produit une copie certifiée conforme à l'original du jugement de divorce du 13 avril 2010 du Tribunal de grande instance de Bourg-en-Bresse, ainsi que les actes d'acquiescement signés par les parties. Ledit jugement est en conséquence devenu définitif à la date de son prononcé. La requête déposée par les demandeurs est ainsi recevable.</w:t>
      </w:r>
    </w:p>
    <w:p>
      <w:r>
        <w:rPr>
          <w:b/>
        </w:rPr>
        <w:t>E. 4</w:t>
      </w:r>
    </w:p>
    <w:p>
      <w:r>
        <w:t>Il convient d'examiner si le jugement de divorce rendu en France peut être reconnu en Suisse, étant rappelé qu'il appartient au Tribunal de céans de statuer, à titre</w:t>
      </w:r>
    </w:p>
    <w:p>
      <w:r>
        <w:t>A/1798/2010 4/7 préjudiciel, sur la reconnaissance d'un tel jugement (cf. art. 29 al. 3 LDIP; ATF du</w:t>
      </w:r>
    </w:p>
    <w:p>
      <w:r>
        <w:rPr>
          <w:b/>
        </w:rPr>
        <w:t>E. 8</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9</w:t>
      </w:r>
    </w:p>
    <w:p>
      <w:r>
        <w:t>Aucun émolument ne sera perçu, la procédure étant gratuite (art. 73 al. 2 LPP et 89H al. 1 de la loi sur la procédure administrative du 12 septembre 1985).</w:t>
      </w:r>
    </w:p>
    <w:p>
      <w:r>
        <w:t>***</w:t>
      </w:r>
    </w:p>
    <w:p>
      <w:r>
        <w:t>A/1798/2010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