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ATAS/843/2008 vom 19. Mai 2005</w:t>
      </w:r>
    </w:p>
    <w:p>
      <w:r>
        <w:t>GE Cour de justice, 2005-05-19, FR</w:t>
      </w:r>
    </w:p>
    <w:p>
      <w:r>
        <w:rPr>
          <w:b/>
        </w:rPr>
        <w:t xml:space="preserve">Quelle: </w:t>
      </w:r>
      <w:r>
        <w:t>https://mcp.opencaselaw.ch/entscheid/ge_gerichte_ATAS_843_2008</w:t>
      </w:r>
    </w:p>
    <w:p>
      <w:r>
        <w:t>FR: GE_GERICHTE ATAS/843/2008 du 19 mai 2005</w:t>
      </w:r>
    </w:p>
    <w:p>
      <w:r>
        <w:t>IT: GE_GERICHTE ATAS/843/2008 del 19 maggio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A/3549/2006 4/6</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L'al. 3 prévoit en outre ce qui suit: "Les parties d’un versement unique financé durant le mariage par l’un des conjoints au moyen de biens qui, dans le régime matrimonial de la participation aux acquêts, entreraient de par la loi dans les biens propres (art. 198 CC) doivent être déduits, y compris les intérêts, de la prestation de sortie à partager". Le message du Conseil fédéral précise, à ce sujet, que lorsque des rachats ont été financés par des moyens acquis pendant le mariage contre rémunération, l'amélioration de la prévoyance qui en résulte doit profiter aux deux conjoints. En revanche, si des rachats ont été réalisés avec des moyens qui appartenaient déjà au conjoint avant son mariage, qu'il a acquis durant le mariage à titre gratuit ou qu'il a obtenu au titre de réparation d'un tort moral, les valeurs correspondantes, y compris les intérêts, doivent être exclues du partage (cf. Message in FF 1996 p. 110). A cet égard le régime matrimonial des parties ne joue aucun rôle.</w:t>
      </w:r>
    </w:p>
    <w:p>
      <w:r>
        <w:rPr>
          <w:b/>
        </w:rPr>
        <w:t>E. 3</w:t>
      </w:r>
    </w:p>
    <w:p>
      <w:r>
        <w:t>En l’espèce, le juge de première instance a ordonné le partage par moitié des prestations de sortie acquises durant le mariage par le demandeur. Les dates pertinentes sont, d’une part, celle du mariage, le 17 février 1979, d’autre part le 2 septembre 2005, date à laquelle le jugement de divorce est devenu exécutoire, et non pas comme le souhaiterait le demandeur à la date de la séparation.</w:t>
      </w:r>
    </w:p>
    <w:p>
      <w:r>
        <w:rPr>
          <w:b/>
        </w:rPr>
        <w:t>E. 4</w:t>
      </w:r>
    </w:p>
    <w:p>
      <w:r>
        <w:t>Selon les documents produits, la prestation acquise pendant le mariage par le demandeur est de 2'775'178 fr. 05, les intérêts ayant déjà été calculés par les institutions de prévoyance défenderesses. Il appert par ailleurs que des rachats ont été effectués par le demandeur de 1997 à 2004 pour un montant total de 359'075 fr. Le demandeur a allégué que ces rachats avaient été financés en majorité par les dons de ses parents, Il a produit à cet égard une attestation signée par ses frères confirmant que leurs parents lui avaient versé de 1997 à 2004 un montant total d'environ 400'000 fr. La demanderesse n'a pas contesté ce fait.</w:t>
      </w:r>
    </w:p>
    <w:p>
      <w:r>
        <w:t>A/3549/2006 5/6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Considérant l'attestation produite et le fait que la demanderesse ne s'y oppose pas, le Tribunal de céans retiendra que les rachats ont été effectués par le demandeur au moyen de biens propres au sens de l'art. 198 CC. Ces rachats doivent dès lors être exclus du partage (ATF du 25 juillet 2006 B 128/05 et ATF du 1er mars 2007 B 26/06), à hauteur de 473'189 (soit 359'075 fr. + les plus-values liés au rendement des actifs jusqu'au jugement du divorce).</w:t>
      </w:r>
    </w:p>
    <w:p>
      <w:r>
        <w:rPr>
          <w:b/>
        </w:rPr>
        <w:t>E. 5</w:t>
      </w:r>
    </w:p>
    <w:p>
      <w:r>
        <w:t>La prestation acquise pendant le mariage par le demandeur et partageable est en conséquence de 2'301'989 fr. 05 (2'775'178 fr. 05 - 473'189 fr.), les intérêts ou plus-values ayant déjà été calculés par l'institution de prévoyance défenderesse. Aussi doit-il à son ex-épouse le montant de 1'150'994 fr. 50 (2'301'989 fr. 05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A/3549/2006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