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ATAS/842/2015 vom 10. November 2015</w:t>
      </w:r>
    </w:p>
    <w:p>
      <w:r>
        <w:t>GE Cour de justice, 2015-11-10, FR</w:t>
      </w:r>
    </w:p>
    <w:p>
      <w:r>
        <w:rPr>
          <w:b/>
        </w:rPr>
        <w:t xml:space="preserve">Quelle: </w:t>
      </w:r>
      <w:r>
        <w:t>https://mcp.opencaselaw.ch/entscheid/ge_gerichte_ATAS_842_2015</w:t>
      </w:r>
    </w:p>
    <w:p>
      <w:r>
        <w:t>FR: GE_GERICHTE ATAS/842/2015 du 10 novembre 2015</w:t>
      </w:r>
    </w:p>
    <w:p>
      <w:r>
        <w:t>IT: GE_GERICHTE ATAS/842/2015 del 10 novembre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56 LPGA; art. 62 al. 1 de la de loi sur la procédure administrative du 12 septembre 1985 [LPA - E 5 10]). Déposé le 16 novembre 2014, le recours l’a été en temps utile.</w:t>
      </w:r>
    </w:p>
    <w:p>
      <w:r>
        <w:rPr>
          <w:b/>
        </w:rPr>
        <w:t>E. 4</w:t>
      </w:r>
    </w:p>
    <w:p>
      <w:r>
        <w:t>Dans la mesure où le recourant agit en personne et que son acte de recours est rédigé à la main et de manière succincte, il y a lieu d’examiner, à titre liminaire, si les conditions de recevabilité formelle, autres que celles liées au respect du délai de recours, sont respectées. a/aa. Selon l’art. 61 let. b LPGA, la procédure devant le tribunal cantonal des assurances est réglée par le droit cantonal. Elle doit notamment satisfaire aux exigences suivantes :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Ces exigences ont été concrétisées à l’art. 89B al. 1 LPA, lequel stipule que la demande ou le recours est adressé en deux exemplaires à la chambre des assurances sociales de la Cour de justice soit par une lettre, soit par un mémoire signé, comportant a) les nom, prénoms, domicile ou résidence des parties ou, s'il s'agit d'une personne morale, toute autre désignation précise; b) un exposé succinct des faits ou des motifs invoqués et c) des conclusions. Les conclusions permettent au juge de déterminer comment le recourant souhaite que la décision querellée soit modifiée. Les conclusions n’ont pas à être formulées expressément mais elles peuvent également ressortir de la motivation du recourant. S'agissant de la motivation, celle-ci doit permettre au destinataire du recours de comprendre en quoi l'état de fait retenu ou les conséquences juridiques qui y sont attachées sont erronés (Ueli KIESER, ATSG-Kommentar: Kommentar zum Bundesgesetz über den Allgemeinen Teil des Sozialversicherungsrechts vom 6. Oktober 2000, 2ème éd., Zurich 2009, n. 46-47 ad art. 61).</w:t>
      </w:r>
    </w:p>
    <w:p>
      <w:r>
        <w:t>A/3493/2014 - 14/30 - a/bb. Si le juge qui est saisi d’un recours ne doit pas se montrer strict lorsqu’il apprécie la forme et le contenu de l’acte de recours, l’intéressé doit néanmoins manifester clairement et par écrit sa volonté d’obtenir la modification de la décision attaquée ; à défaut, l’écriture qu’il produit ne peut être considérée comme une déclaration de recours (ATF 116 V 356 consid. 2b et les références ; arrêt du Tribunal fédéral des assurances non publié du 28 janvier 2003, I 501/02 consid. 2.2). En particulier, il n’appartient pas à une autorité cantonale de recours de faire des recherches dans les pièces du dossier pour déterminer, notamment, quel est l’objet du litige et de quoi pourrait se plaindre l’intéressé (ATF 123 V 336 consid. 1a ; cf. arrêt du Tribunal fédéral des assurances du 17 décembre 2002, U 292/02, consid. 4). b. En l’espèce, le recourant a clairement indiqué dans son recours du 16 novembre 2014 ainsi que dans son complément du 29 janvier 2015 qu’il contestait la suppression de sa rente, dans la mesure où son état de santé s’était aggravé, et qu’il sollicitait le versement rétroactif d’une rentre par l’OAI, la SUVA ou B_______ SA. Étant donné que la décision querellée est une décision rendue par l’OAI, les conclusions dirigées contre la SUVA et B_______ SA doivent à l’évidence être déclarées irrecevables. En revanche, celles dirigées contre l’OAI sont suffisamment claires pour être prises en considération. Partant, le recours est recevable en tant qu’il est dirigé contre la décision de l’OAI.</w:t>
      </w:r>
    </w:p>
    <w:p>
      <w:r>
        <w:rPr>
          <w:b/>
        </w:rPr>
        <w:t>E. 5</w:t>
      </w:r>
    </w:p>
    <w:p>
      <w:r>
        <w:t>Le recours étant recevable à la forme, se pose désormais la question de l’objet du litige dans la mesure où le recourant conclut au versement d’une rente avec effet à 2009. a/aa. L'objet du litige dans la procédure administrative subséquente est le rapport juridique qui constitue, d'après les conclusions du recours, l'objet de la décision effectivement attaqué (ATF 131 V 164 consid. 2.1 ;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a/bb. Selon l'art. 61 let. c LPGA, le tribunal établit avec la collaboration des parties les faits déterminants pour la solution du litige; il administre les preuves nécessaires et les apprécie librement. Ainsi,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w:t>
      </w:r>
    </w:p>
    <w:p>
      <w:r>
        <w:t>A/3493/2014 - 15/30 - preuves commandées par la nature du litige et des faits invoqués, faute de quoi elles risquent de devoir supporter les conséquences de l'absence de preuves (ATF 125 V 195 consid. 2 et les références; cf. 130 I 183 consid. 3.2). b. En l’espèce, par décision du 16 octobre 2014, l’intimé a accordé au recourant une demi-rente d’invalidité pour les mois de février à mai 2014 et une rente entière d’invalidité dès le mois de juin 2014. Le recourant conteste la suppression de la rente et sollicite le versement rétroactif d’une rente d’invalidité. En d’autres termes, il conteste la date de début du versement et le montant de la rente, invoquant notamment une aggravation, depuis 2000, de son état de santé et ce notamment du point de vue cardiaque. L’objet du litige concerne ainsi le droit à la rente et plus spécifiquement la date de début de l’aggravation de son état de santé.</w:t>
      </w:r>
    </w:p>
    <w:p>
      <w:r>
        <w:rPr>
          <w:b/>
        </w:rPr>
        <w:t>E. 6</w:t>
      </w:r>
    </w:p>
    <w:p>
      <w:r>
        <w:t>La recevabilité du recours et l’objet du litige ayant été examinés, il y a lieu de déterminer si le recourant pouvait prendre des conclusions remontant à 2000. En effet, il conclut au paiement rétroactif de la rente d’invalidité, arguant notamment que son état de santé s’est aggravé depuis l’année 2000. Dans la mesure où, par décision du 8 décembre 2008, l’OAI a supprimé la rente d’invalidité dès le premier jour du deuxième mois qui suit la notification de la décision, à savoir vraisemblablement dès le 1er février 2009 et que des décisions et arrêts subséquents ont été rendus, il y a lieu de déterminer quelle période est susceptible de faire l’objet de la présente procédure, ce qui pose la question de la force de chose décidée ou jugée. a. Il y a autorité de chose jugée, du point de vue matériel, lorsque le litige a le même objet que celui sur lequel s’est déjà prononcée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119 II 89 consid. 2a ; 98 V 174 consid. 2).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2011, p. 378-379). En principe, seul le jugement au fond jouit de l'autorité de la chose jugée. Cela suppose que le premier tribunal saisi ait dit le droit sur la base des allégations de fait des parties, c'est-à-dire qu'il ait jugé du fondement matériel de leurs prétentions. Le jugement au fond jouit de l'autorité de la chose jugée dans la mesure seulement où il a statué sur la prétention déduite en justice. Ne participent pas de l'autorité de la chose jugée les constatations de fait dudit jugement ni ses considérants de droit, mais uniquement son dispositif, encore qu'il faille parfois recourir aux motifs pour déterminer la portée exacte du dispositif (arrêt du Tribunal fédéral des assurances 4C_21/2002 du</w:t>
      </w:r>
    </w:p>
    <w:p>
      <w:r>
        <w:t>A/3493/2014 - 16/30 - 4 avril 2002, consid. 3). Ainsi, lorsque le dispositif se réfère expressément aux considérants, ceux-ci acquièrent eux-mêmes la force matérielle.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(arrêt du Tribunal fédéral 9C_58/2012 du 8 juin 2012, consid. 4.2 et les références citées). De plus, la portée du dispositif ne peut souvent se déterminer qu’en fonction des motifs (ATF 123 III 16 consid. 2a ; 116 II 738 consid. 2a). b/aa. En l’espèce, par décision du 8 décembre 2008, notifiée une seconde fois le 5 janvier 2009, l’intimé a supprimé la rente d’invalidité du recourant. N’ayant pas fait l’objet d’un recours, cette décision est entrée en force de chose décidée de sorte qu’elle ne peut pas être revue par la chambre de céans dans la présente procédure. Il en va de même des décisions des 29 septembre 2010 et 4 octobre 2010, par lesquelles l’OAI a refusé d’entrer en matière sur la nouvelle demande déposée en décembre 2009. Par conséquent, les conclusions en paiement relatives à la période courant jusqu’au 4 octobre 2010 doivent être déclarées irrecevables en vertu du principe ne bis in idem. b/bb. Par décision du 7 juin 2012, l’OAI a rejeté la nouvelle demande déposée le 29 juillet 2011. Sur recours, la chambre de céans a annulé la décision précitée, renvoyant la cause à l’OAI pour instruction complémentaire s’agissant de l’atteinte cardiaque (arrêt du 9 octobre 2012). Cela étant, force est de constater que dans son arrêt du 9 octobre 2012, la chambre de céans ne s’est pas prononcée sur la prétention alors déduite en justice, à savoir sur le droit à une rente d’invalidité. Elle n’a pas examiné la valeur probante du rapport du Dr N_______ ni celle des autres rapports au dossier. Elle ne s’est pas prononcée sur l’existence d’une atteinte autre que cardiaque. En réalité, la chambre de céans n’a fait que prendre acte des conclusions en renvoi prises par l’OAI. Dans ces circonstances, il doit être admis que l’arrêt du 9 octobre 2012 n’a pas acquis force de chose jugée sur le fond, de sorte que le recourant pouvait conclure au paiement d’une rente d’invalidité pour la période antérieure à la date du jugement précité, à savoir dès le 1er janvier 2012 au plus tôt, soit au début du sixième mois après le dépôt de la demande du 29 juillet 2011 (voir art. 29 al. 1 et 3 LAI).</w:t>
      </w:r>
    </w:p>
    <w:p>
      <w:r>
        <w:rPr>
          <w:b/>
        </w:rPr>
        <w:t>E. 7</w:t>
      </w:r>
    </w:p>
    <w:p>
      <w:r>
        <w:t>Cela étant précisé, il y a lieu de déterminer si c’est à juste titre que l’OAI a mis le recourant au bénéfice d’une rente d’invalidité seulement à compter du 1er février 2014. a. Aux termes de l’art. 8 al. 1er LPGA, est réputée invalidité l’incapacité de gain totale ou partielle qui est présumée permanente ou de longue durée. Selon l’art. 7 LPGA, est réputée incapacité de gain toute diminution de l'ensemble ou d'une partie</w:t>
      </w:r>
    </w:p>
    <w:p>
      <w:r>
        <w:t>A/3493/2014 - 17/30 -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c/aa.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A/3493/2014 - 18/30 - Dans ce contexte, il y a lieu de relever que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 à défaut, la valeur probante d'un tel document est moindre (cf. arrêt du Tribunal fédéral 9C_826/2009 du 20 juillet 2010 consid. 4.2 portant sur les rapports des services médicaux régionaux au sens de l'art. 49 al. 2 RAI).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c/cc.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c/dd.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w:t>
      </w:r>
    </w:p>
    <w:p>
      <w:r>
        <w:t>A/3493/2014 - 19/30 - en présence de pièces médicales contradictoires, de dire s'il y a lieu de se fonder sur l'une ou l'autre ou s'il y a lieu de procéder à une instruction complémentaire (arrêt du Tribunal fédéral 9C_518/2007 du 14 juillet 2008 consid. 3.2 et les références citées).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w:t>
      </w:r>
    </w:p>
    <w:p>
      <w:r>
        <w:rPr>
          <w:b/>
        </w:rPr>
        <w:t>E. 8</w:t>
      </w:r>
    </w:p>
    <w:p>
      <w:r>
        <w:t>En l’espèce, l’intimé s’est fondé sur une expertise réalisée par le Dr N_______ en date du 13 février 2012, ainsi que sur son complément du 14 décembre 2013, pour refuser tout droit aux prestations avant le mois de février 2014. Il y a donc lieu d’examiner la valeur probante de ces documents. a/aa. Sur le plan formel, les rapports des 13 février 2012 et 14 décembre 2013 remplissent prima facie la plupart des exigences auxquelles la jurisprudence soumet la valeur probante d'un tel document. Les rapports en question contiennent un résumé du dossier, une anamnèse détaillée, les indications subjectives du recourant, des observations cliniques ainsi que, pour finir, une discussion générale du cas. La chambre de céans constate cependant que l’expertise précitée et son complément ont été établis par un spécialiste FMH en médecine interne générale, le Dr N_______, alors que le recourant souffrait déjà à l’époque de troubles cardiaques ainsi que de douleurs chroniques ayant mené aux diagnostics de fibromyalgie et de trouble somatoforme douloureux. Par conséquent, il apparaît douteux qu’une expertise qui n’a pas été établie avec le concours d’un cardiologue, d’un rhumatologue et d’un psychiatre satisfasse aux conditions jurisprudentielles en la matière. En effet, comme indiqué précédemment, la valeur probante d'une expertise dans une discipline médicale particulière dépend du point de savoir si l'expert dispose d'une formation spécialisée dans le domaine concerné (arrêt du Tribunal fédéral 9C_270/2007 du 12 août 2008 consid. 3.3). Or, force est d’admettre que le Dr N_______ n’a pas de compétences spécialisées en cardiologie, rhumatologie et psychiatrie, de sorte que son expertise et son complément doivent être pris avec circonspection. Le fait que le Dr N_______ ait sollicité un examen spécialisé du Dr O_______, cardiologue, n’y change rien dès lors que celui-ci n’a pas posé de diagnostics et qu’il ne s’est pas prononcé sur la capacité de travail du recourant. En outre, le rapport du Dr O_______ ne respecte aucune des conditions jurisprudentielles</w:t>
      </w:r>
    </w:p>
    <w:p>
      <w:r>
        <w:t>A/3493/2014 - 20/30 - permettant de lui reconnaître une pleine valeur probante. Dans ces circonstances, on ne peut qualifier le rapport du Dr N_______ de consilium, ce qui aurait permis de lui reconnaître une pleine valeur probante. a/bb. En outre, le Dr N_______ n’a pas pu procéder à une analyse complète de la situation, de nombreux rapports médicaux manquant au dossier. En effet, quand bien même la chambre de céans avait renvoyé la cause à l’OAI, charge à celui-ci de procéder à une instruction complémentaire en interrogeant notamment le cardiologue des HUG et en sollicitant une copie de tous les examens complémentaires ainsi que du rapport de consilium, rien de tel n’a été fait, l’OAI se limitant à demander des informations aux médecins traitants. Par conséquent, lorsqu’il a établi son rapport, le Dr N_______ ne disposait pas d’un dossier complet. a/cc. D’autres éléments viennent également affecter la force probante des rapports du Dr N_______. D’une part, quand bien même il a mentionné le compte-rendu de l’imagerie par résonnance magnétique (IRM) du 9 novembre 2009, dont il ressort que le recourant souffre de discopathies modérées pluriétagées ainsi que d’une arthrose inter- apophysaire, le Dr N_______ n’a pas mentionné ces atteintes dans la liste des diagnostics, alors même qu’elles pourraient être susceptibles d’entraîner des limitations fonctionnelles d’épargne du rachis. D’autre part, dans son complément du 14 décembre 2013, le Dr N_______ a considéré que le trouble douloureux chronique, l’asthénie, les vertiges et les tensions musculaires multiples à type de fibromyalgie ne sont pas à l’origine de limitations fonctionnelles. Il est pourtant douteux que des vertiges n’entraînent pas de limitations fonctionnelles, telles que l’interdiction d’exercer une activité sur une échelle ou un échafaudage. b. Pour tous ces motifs, les rapports du Dr N_______ ne sont pas dotés d’une valeur probante suffisante pour que l’OAI puisse se fonder sur eux pour considérer que le recourant ne souffrait d’aucune atteinte invalidante avant le mois de février 2014, date à laquelle tous les médecins, y compris ceux du SMR, s’accordent à dire que le recourant souffre d’une grave atteinte cardiaque, laquelle entraine une incapacité totale de travailler. c. Quant au rapport du Dr K_______ du 4 mars 2013, seul rapport se prononçant sur la capacité de travail du recourant, il est trop succinct pour que l’on puisse se fonder sur lui pour apprécier la capacité de travail du recourant. d. La décision querellée doit donc être annulée pour les motifs précités et la cause renvoyée à l’OAI pour instruction complémentaire sur l’état de santé du recourant du 1er janvier 2012 au 31 janvier 2014.</w:t>
      </w:r>
    </w:p>
    <w:p>
      <w:r>
        <w:rPr>
          <w:b/>
        </w:rPr>
        <w:t>E. 9</w:t>
      </w:r>
    </w:p>
    <w:p>
      <w:r>
        <w:t>Dans la mesure où le dossier soumis à la chambre de céans comprend à plusieurs reprises les diagnostics de troubles somatoformes douloureux ou de fibromyalgie, il</w:t>
      </w:r>
    </w:p>
    <w:p>
      <w:r>
        <w:t>A/3493/2014 - 21/30 - convient de se demander si ces atteintes sont invalidantes au sens de l’assurance- invalidité. Dans ce contexte, on relèvera que le SMR s’est posé la même question dès lors qu’il a procédé à l’examen des critères de MEYER-BLASER.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102 V 165; VSI 2001 p. 224 consid. 2b et les références). b.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w:t>
      </w:r>
    </w:p>
    <w:p>
      <w:r>
        <w:t>A/3493/2014 - 22/30 -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w:t>
      </w:r>
    </w:p>
    <w:p>
      <w:r>
        <w:rPr>
          <w:b/>
        </w:rPr>
        <w:t>E. 10</w:t>
      </w:r>
    </w:p>
    <w:p>
      <w:r>
        <w:t>a.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w:t>
      </w:r>
    </w:p>
    <w:p>
      <w:r>
        <w:t>A/3493/2014 - 23/30 - évidence par le Tribunal fédéral dans le cadre de leur appréciation médicale (ATF 132 V 65 consid. 4.2 et 4.3). b. Dans l’ATF 141 V 281 daté du 3 juin 2015,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131 V 49;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w:t>
      </w:r>
    </w:p>
    <w:p>
      <w:r>
        <w:t>A/3493/2014 - 24/30 -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confonde pas avec le chômage non assuré ou avec d’autres difficultés de vie (consid. 4.3.3).</w:t>
      </w:r>
    </w:p>
    <w:p>
      <w:r>
        <w:t>A/3493/2014 - 25/30 -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c. Dès lors qu'en l'absence de résultats sur le plan somatique, le seul diagnostic de trouble somatoforme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w:t>
      </w:r>
    </w:p>
    <w:p>
      <w:r>
        <w:t>A/3493/2014 - 26/30 -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 somatoforme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d.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 652/04 du 3 avril 2006 consid. 2.3).</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w:t>
      </w:r>
    </w:p>
    <w:p>
      <w:r>
        <w:t>A/3493/2014 - 27/30 -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répond pas suffisamment aux questions auxquelles il faut répondre, selon la nouvelle jurisprudence en lien avec les troubles somatoformes douloureux, le Tribunal fédéral a expressément laissé la possibilité d’un renvoi à l’administration afin que soient posées les questions complémentaires à l’expert (arrêt du Tribunal fédéral 9C_942/2014, op. cit., consid. 8).</w:t>
      </w:r>
    </w:p>
    <w:p>
      <w:r>
        <w:rPr>
          <w:b/>
        </w:rPr>
        <w:t>E. 12</w:t>
      </w:r>
    </w:p>
    <w:p>
      <w:r>
        <w:t>En l’espèce, le diagnostic de fibromylagie a été retenu par le Dr N_______ dans ses rapports des 13 février 2012 et 14 décembre 2013. Quant à celui de trouble somatoforme douloureux, il a été posé par le Dr K_______ en date des 13 août 2007 et 4 mars 2013 ainsi que par le centre de la douleur, dans son rapport du 29 septembre 2011. Par avis des 31 mai 2012 et 4 février 2014, le SMR, sous la plume de ses médecins, a considéré que les critères de gravité requis jusqu’alors par le Tribunal fédéral n’étaient pas réalisés. Il a dès lors exclu la présence d’une fibromyalgie ou d’un trouble somatoforme invalidant. Or, par arrêt précité du 3 juin 2015, le Tribunal fédéral a modifié sa jurisprudence. Il y a dorénavant lieu d’examiner si les répercussions fonctionnelles de l’atteinte à la santé constatée médicalement sont prouvées de manière définitive et sans contradiction avec une vraisemblance (au moins) prépondérante au moyen des indicateurs standards dégagés par le Tribunal fédéral. Force est toutefois de constater que les quelques rapports se prononçant sur l’état psychique du recourant ne permettent pas de répondre à ces questions. En particulier, l’expertise du Dr I_______ date de 2007 et n’examine pas les critères de gravité pertinents jusqu’en 2015. Quant au Dr P_______, il ne s’est prononcé que brièvement et de manière contradictoire dans ses courriers des 23 août et 13 septembre 2012, suggérant, d’une part, de remettre en question toute expertise psychiatrique antérieure et considérant, d’autre part, que l’assuré ne souffrait d’aucune atteinte psychique primaire incapacitante.</w:t>
      </w:r>
    </w:p>
    <w:p>
      <w:r>
        <w:t>A/3493/2014 - 28/30 - Dans ces conditions, la chambre de céans est d’avis que la cause est insuffisamment instruite, de sorte qu’elle n’est pas en mesure de statuer définitivement sur la capacité de travail, partant sur le degré d’invalidité et le début du droit à la rente, antérieurement au mois de février 2014, plus spécialement du 1er janvier 2012 au 31 janvier 2014.</w:t>
      </w:r>
    </w:p>
    <w:p>
      <w:r>
        <w:rPr>
          <w:b/>
        </w:rPr>
        <w:t>E. 13</w:t>
      </w:r>
    </w:p>
    <w:p>
      <w:r>
        <w:t>Depuis la modification de jurisprudence résultant de l’arrêt du Tribunal fédéral du 3 juin 2015 (ATF 141 V 281), l’OAI a indiqué dans diverses procédures pendantes devant la chambre de céans qu’il estimait qu’il n’y avait pas lieu de faire application de cette nouvelle jurisprudence dans les procédures en cours. Aussi paraît-il opportun de relever que la nouvelle jurisprudence du Tribunal fédéral relative au trouble somatoforme douloureux est applicable au cas d’espèce, dès lors qu’un changement de jurisprudence s’applique aux affaires pendantes devant un tribunal au moment dudit changement (ATF 108 V 3). La jurisprudence publiée aux ATF 119 V 410, que l’intimé invoque régulièrement pour étayer son refus d’appliquer la nouvelle jurisprudence, n’y change rien, puisqu’elle se penche sur la question de savoir si le fait qu’une décision soit entrée en force s’oppose à l’application d’une nouvelle jurisprudence. Or, le cas particulier ne concerne précisément pas une décision en force, dans la mesure où la décision querellée a fait l’objet d’un recours. Partant, la modification de jurisprudence résultant de l’arrêt du Tribunal fédéral du 3 juin 2015 doit être prise en considération pour résoudre le présent litige.</w:t>
      </w:r>
    </w:p>
    <w:p>
      <w:r>
        <w:rPr>
          <w:b/>
        </w:rPr>
        <w:t>E. 14</w:t>
      </w:r>
    </w:p>
    <w:p>
      <w:r>
        <w:t>Il se justifie en conséquence d’admettre partiellement le recours, d’annuler la décision du 16 octobre 2014 en tant qu’elle fait débuter le droit à la rente au mois de février 2014 et de renvoyer la cause à l’OAI pour instruction complémentaire au sens des considérants et nouvelle décision. L’OAI sera invité – comme cela a déjà été le cas dans l’arrêt du 9 octobre 2012 – à interroger le cardiologue des HUG et le cardiologue traitant et à se procurer copie de tous les rapports établis par les cardiologues des HUG depuis le dépôt de la nouvelle demande. Cela fait, l’OAI devra mettre en œuvre une expertise pluridisciplinaire confiée à des experts indépendants, selon la procédure prévue à l’art. 44 LPGA. Les experts se prononceront sur la capacité de travail et son évolution, en tenant compte de l’ensemble des rapports médicaux versés au dossier. En outre, si les experts confirment finalement le diagnostic de trouble somatoforme douloureux ou de fibromyalgie, il leur appartiendra également d’évaluer la capacité de travail du recourant à la lumière des indicateurs standard développés par le Tribunal fédéral au consid. 4 de l’ATF 141 V 281 précité, en motivant suffisamment leur appréciation. Enfin, dans la mesure où le recourant ne conteste pas son droit à la rente dès le 1er février 2014, la décision du 16 octobre 2014 sera confirmée sur ce point.</w:t>
      </w:r>
    </w:p>
    <w:p>
      <w:r>
        <w:t>A/3493/2014 - 29/30 - Étant donné que, depuis le 1er juillet 2006, la procédure n'est plus gratuite (art. 69 al. 1bis LAI), au vu du sort du recours, il y a lieu de condamner l'intimé au paiement d'un émolument de CHF 200.-.</w:t>
      </w:r>
    </w:p>
    <w:p>
      <w:r>
        <w:t>A/3493/2014 - 30/30 -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