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ATAS/841/2014 vom 30. Juni 2014</w:t>
      </w:r>
    </w:p>
    <w:p>
      <w:r>
        <w:t>GE Cour de justice, 2014-06-30, FR</w:t>
      </w:r>
    </w:p>
    <w:p>
      <w:r>
        <w:rPr>
          <w:b/>
        </w:rPr>
        <w:t xml:space="preserve">Quelle: </w:t>
      </w:r>
      <w:r>
        <w:t>https://mcp.opencaselaw.ch/entscheid/ge_gerichte_ATAS_841_2014</w:t>
      </w:r>
    </w:p>
    <w:p>
      <w:r>
        <w:t>FR: GE_GERICHTE ATAS/841/2014 du 30 juin 2014</w:t>
      </w:r>
    </w:p>
    <w:p>
      <w:r>
        <w:t>IT: GE_GERICHTE ATAS/841/2014 del 30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aux parties de leur accord que l’expertise soit confiée à l’un des trois experts suggérés par la chambre de céans.</w:t>
      </w:r>
    </w:p>
    <w:p>
      <w:r>
        <w:rPr>
          <w:b/>
        </w:rPr>
        <w:t>E. 2</w:t>
      </w:r>
    </w:p>
    <w:p>
      <w:r>
        <w:t>Dit que le mandat d’expertise est confié au Prof. C______ (HUG), à défaut - si celui-ci devait refuser le mandat pour une raison ou une autre - au Dr D______ (CHUV).</w:t>
      </w:r>
    </w:p>
    <w:p>
      <w:r>
        <w:rPr>
          <w:b/>
        </w:rPr>
        <w:t>E. 3</w:t>
      </w:r>
    </w:p>
    <w:p>
      <w:r>
        <w:t>Renvoie la cause à l’intimée à charge pour celle-ci de mettre en œuvre ladite expertise selon les modalités convenues et en intégrant les questions de l’assuré.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Marie-Catherine SECHAUD</w:t>
      </w:r>
    </w:p>
    <w:p>
      <w:r>
        <w:t>La Présidente :</w:t>
      </w:r>
    </w:p>
    <w:p>
      <w:r>
        <w:t>Karine STECK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