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ATAS/840/2016 vom 19. Oktober 2016</w:t>
      </w:r>
    </w:p>
    <w:p>
      <w:r>
        <w:t>GE Cour de justice, 2016-10-19, FR</w:t>
      </w:r>
    </w:p>
    <w:p>
      <w:r>
        <w:rPr>
          <w:b/>
        </w:rPr>
        <w:t xml:space="preserve">Quelle: </w:t>
      </w:r>
      <w:r>
        <w:t>https://mcp.opencaselaw.ch/entscheid/ge_gerichte_ATAS_840_2016</w:t>
      </w:r>
    </w:p>
    <w:p>
      <w:r>
        <w:t>FR: GE_GERICHTE ATAS/840/2016 du 19 octobre 2016</w:t>
      </w:r>
    </w:p>
    <w:p>
      <w:r>
        <w:t>IT: GE_GERICHTE ATAS/840/2016 del 19 ottobre 2016</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S’agissant du droit cantonal, la loi genevoise sur les allocations familiales (LAF ; J</w:t>
      </w:r>
    </w:p>
    <w:p>
      <w:r>
        <w:rPr>
          <w:b/>
        </w:rPr>
        <w:t>E. 5</w:t>
      </w:r>
    </w:p>
    <w:p>
      <w:r>
        <w:t>a.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b. À côté d’un régime pour les personnes exerçant une activité lucrative non agricole, la LAFam a organisé un régime en faveur des personnes sans activité lucrative. Selon l’art. 19 al. 1 LAFam, les personnes obligatoirement assurées à l’AVS en tant que personnes sans activité lucrative sont considérées comme sans activité lucrative. Elles ont droit aux allocations familiales prévues aux art. 3 et 5 LAFam. L’art. 7 al. 2 LAFam n’est pas applicable. Ces personnes relèvent du canton dans lequel elles sont domiciliées.</w:t>
      </w:r>
    </w:p>
    <w:p>
      <w:r>
        <w:rPr>
          <w:b/>
        </w:rPr>
        <w:t>E. 6</w:t>
      </w:r>
    </w:p>
    <w:p>
      <w:r>
        <w:t>a. Aux termes de l'art. 4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première phrase). b. L’art. 7 OAFam, en vigueur depuis le 1er janvier 2012, prévoit que pour les enfants ayant leur domicile à l’étranger, les allocations familiales ne sont versées que si une convention internationale le prévoit (al. 1). Pour les enfants quittant la Suisse afin de suivre une formation, il est présumé pendant cinq ans au plus qu’ils conservent leur domicile en Suisse. Ce délai commence au plus tôt dès que l’enfant atteint l’âge de 16 ans (1bis). Par arrêt du 31 août 2010 (ATF 136 I 297),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cet Etat étranger.</w:t>
      </w:r>
    </w:p>
    <w:p>
      <w:r>
        <w:t>A/4061/2015 - 8/16 - c. La Convention du 8 juin 1962 conclue entre la Suisse et la République Populaire Fédérative de Yougoslavie relative aux assurances sociales (RS 0.831.109.818.1) prévoit que les ressortissants des deux Parties contractantes bénéficient des allocations pour enfants prévues, notamment, par la législation fédérale sur les allocations familiales, quel que soit le lieu de résidence de leurs enfants (articles 1 al. 1 let. a chif. iv et 15 de la Convention). En décembre 2009, le Conseil fédéral a décidé que cette convention ne s’appliquerait plus pour le Kosovo dès le 1er avril 2010 (ATF 139 V 263). Les allocations familiales courantes ne sont donc versées aux ressortissants du Kosovo pour les enfants vivant à l’étranger que jusqu’à fin mars 2010. Une exception n’est possible que pour les ressortissants du Kosovo fournissant la preuve de leur nationalité serbe. Dans ce cas, la convention avec l’ex-Yougoslavie s’applique. Seul un passeport biométrique serbe en cours de validité sans restriction en matière d’exemption de visa pour l’espace Schengen est accepté pour justifier de la nationalité serbe. Le passeport ne doit pas comporter l’annotation « Koordinaciona Uprava » (coordination administrative) de la part des autorités serbes émettrices du passeport (Directives sur les allocations familiales, DAFam nos 321 et 322). d. Pour les enfants et les jeunes qui quittent la Suisse à des fins de formation, il est présumé pendant cinq ans au plus qu’ils conservent leur domicile en Suisse. Pendant ce temps, le droit aux allocations familiales continue d’exister. Il s’agit d’une simple présomption de conservation du domicile en Suisse qui peut être renversée par la caisse de compensation pour allocations familiales. Plus le séjour à l’étranger est court, plus il est probable que le domicile est conservé en Suisse. Les critères allant à l’encontre d’une conservation du domicile en Suisse sont les suivants (Directives sur les allocations familiales, DAFam nos 301.1 ss) : – l’enfant n’est plus assuré dans l’assurance obligatoire des soins conformément à la loi fédérale du 18 mars 1994 sur l’assurance-maladie (LAMal). Selon l’art. 3, al. 1, LAMal toute personne domiciliée en Suisse doit être assurée ; – le contact avec la famille et les amis en Suisse n’est pas maintenu et les vacances semestrielles n’ont pas lieu en Suisse ; – l’enfant a quitté la Suisse afin de s’installer à l’étranger auprès d’un de ses parents ; – l’enfant a déjà habité autrefois dans son lieu de résidence actuel à l’étranger et y a fréquenté l’école. e. La notion de «domicile» développée en droit civil est applicable par renvoi de l'art. 13 al. 1 LPGA, lui-même applicable en matière d'allocations familiales (art. 1 LAFAm et 2B LAF). Le domicile de toute personne est au lieu où elle réside avec l'intention de s'y établir. Toutefois, le séjour dans une institution de formation ou le placement dans un établissement d’éducation, un home, un hôpital ou une maison de détention ne</w:t>
      </w:r>
    </w:p>
    <w:p>
      <w:r>
        <w:t>A/4061/2015 - 9/16 - constitue en soi pas le domicile (art. 23 al. 1 du Code civil suisse du 10 décembre 1907 [CC - RS 210]). Cette disposition énonce une présomption réfragable dont il découle que le séjour dans une localité afin d’y étudier, ou dans un établissement, ne signifie pas que le centre des intérêts vitaux a aussi été délocalisé dans le lieu en question. Il en résulte, d’une part, que la personne intéressée peut malgré tout avoir le centre de ses intérêts vitaux et ainsi avoir dans certains cas un domicile à ce lieu, et d’autre part, que l’établissement dans un but particulier ne signifie en règle générale pas que le centre des intérêts vitaux est déplacé (ATF 137 V 122 consid. 3.6 et les références, in JdT 2011 p. 372 ss). f. La notion de domicile au sens de l’art. 23 al. 1 CC comporte deux éléments: l'un objectif, la résidence, soit un séjour d'une certaine durée dans un endroit donné et la création en ce lieu de rapports assez étroits ; l'autre, subjectif, l'intention d'y résider, soit de se fixer pour une certaine durée au lieu de sa résidence qui doit être reconnaissable pour les tiers et donc ressortir de circonstances extérieures et objectives. La jurisprudence actuelle ne se fonde pas sur la volonté intime de l'intéressé mais sur l'intention manifestée objectivement (ATF 127 V 238 consid. 1 ; 125 V 77 consid. 2a, 120 III 7 consid. 2a).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les références ; ATF 125 III 100 consid. 3). g. Dans un arrêt récent (ATF 137 II 122 cité), le Tribunal fédéral s’est prononcé sur le point de savoir si un étudiant de nationalité suisse immatriculé pendant deux ans dans une université saoudienne avait conservé ou non son domicile en Suisse. Il a estimé que l’étudiant avait séjourné en Arabie Saoudite dans le seul but d’y étudier : il ne s’était auparavant jamais rendu dans ce pays, tous ses contacts personnels et professionnels étaient en Suisse, où il avait grandi, et il souhaitait y accomplir son école de recrue. Ses affaires personnelles étaient restées en Suisse et à la première occasion, il serait revenu en Suisse pendant ses vacances semestrielles. Il avait de surcroît prévu de quitter le pays une fois ses études achevées (consid. 3.3). En considérant, du simple fait que l’étudiant ne pouvait pas retourner régulièrement en Suisse, qu’il n’avait plus qu’un lien très lâche avec ce pays et qu’il ne séjournait pas en Arabie Saoudite uniquement pour y étudier, la juridiction cantonale avait violé l’art. 23 al 1, en relation avec l’ancien art. 26 CC. En effet, déterminer le centre de ses intérêts vitaux et renverser la présomption de l’art. 26 CC exigeait une prise en considération de tous les éléments concrets du cas</w:t>
      </w:r>
    </w:p>
    <w:p>
      <w:r>
        <w:t>A/4061/2015 - 10/16 - particulier (ATF 136 II 405 consid. 4.3). Or, le tribunal des assurances sociales n’avait pas tenu compte des allégations du recourant, qui consolidaient la présomption que son séjour en Arabie Saoudite pour y étudier n’avait pas conduit à un transfert du centre de ses intérêts vitaux.</w:t>
      </w:r>
    </w:p>
    <w:p>
      <w:r>
        <w:rPr>
          <w:b/>
        </w:rPr>
        <w:t>E. 7</w:t>
      </w:r>
    </w:p>
    <w:p>
      <w:r>
        <w:t>a. Aux termes de l'art. 25 al. 1, 1ère phrase, LPGA, dont la teneur est reprise en droit cantonal genevois aux art. 12 al. 2 LAF et 4 RAF,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b.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42 consid. 2a ; 122 V 21 consid. 3a ; 122 V 368 consid. 3 et les arrêts cités).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c.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w:t>
      </w:r>
    </w:p>
    <w:p>
      <w:r>
        <w:t>A/4061/2015 - 11/16 -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d.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S’agissant plus particulièrement de la révision, l'obligation de restituer des prestations indûment touchées et son étendue dans le temps ne sont pas liées à une violation de l'obligation de renseigner. Il s'agit simplement de rétablir l'ordre légal après la découverte du fait nouveau (ATF 122 V 134 consid. 2e).</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Tribunal fédéral des assurances I 294/02 du 20 novembre 2002).</w:t>
      </w:r>
    </w:p>
    <w:p>
      <w:r>
        <w:t>A/4061/2015 - 12/16 -</w:t>
      </w:r>
    </w:p>
    <w:p>
      <w:r>
        <w:rPr>
          <w:b/>
        </w:rPr>
        <w:t>E. 9</w:t>
      </w:r>
    </w:p>
    <w:p>
      <w:r>
        <w:t>a. En l’espèce, l’intimée réclame la restitution des allocations de formation professionnelle versées à l’intéressé pour C______ du 1er août 2012 au 30 octobre 2014, au motif que sa fille est domiciliée depuis août 2012 au Kosovo et que ces prestations ne sont pas exportables, la convention de 1962 avec l’ex-Yougoslavie ne s’appliquant pas aux ressortissants kosovars. Pour sa part, le recourant soutient que la présomption légale selon laquelle sa fille reste domiciliée en Suisse pendant cinq ans n’est pas renversée. b. À titre liminaire, on relèvera que la question de savoir si l’intimée exige une restitution par la voie d’une reconsidération ou d’une révision de ses décisions d’octroi de prestations entrées en force est peu claire. Dans la décision de restitution attaquée, l’intimée invoque la découverte, en décembre 2014, du fait que C______ n’a plus été assurée en Suisse au titre de l’assurance-obligatoire des soins dès 2012. Ce faisant, elle se prévaut d’un fait antérieur à ses décisions d’octroi de prestations de novembre 2012 et décembre 2013, mais découvert subséquemment, autrement dit d’un motif de révision procédurale au sens de l’art. 53 al. 1 LPGA. L’intimée a toutefois déclaré en audience qu’elle avait statué par voie de reconsidération (procès-verbal d’audience du 10 février 2016, p.2). Se pose donc également la question de savoir si les décisions d’octroi de prestations susvisées sont manifestement erronées en tant qu’elles reposent sur le postulat implicite que C______ a conservé son domicile en Suisse au-delà du mois d’août 2012. Il sied par conséquent d’examiner le bien-fondé de la restitution litigieuse, tant sous l’angle d’une reconsidération que d’une révision procédurale.</w:t>
      </w:r>
    </w:p>
    <w:p>
      <w:r>
        <w:rPr>
          <w:b/>
        </w:rPr>
        <w:t>E. 10</w:t>
      </w:r>
    </w:p>
    <w:p>
      <w:r>
        <w:t>a. D’emblée, il paraît opportun de préciser que l’intimée ne conteste pas que C______ se soit rendue au Kosovo, en août 2012, dans le seul but d’y suivre une formation universitaire. Dans la décision de restitution querellée, l’intimée cite d’ailleurs l’art. 7 al. 1 bis OAFAM, qui prescrit que les enfants quittant le pays en vue de suivre une formation sont présumés conserver leur domicile en Suisse pendant cinq ans. b. L'intimée soutient toutefois que cette présomption serait renversée dès le mois d'août 2012. Pour aboutir à cette conclusion, elle se fonde dans la décision attaquée sur les trois arguments suivants : C______ n’est plus assurée au titre de la LAMal en Suisse depuis 2012 ; elle s’est installée à Pristina avec son compagnon en 2012 ; son père n’a pas été en mesure de justifier ses retours en Suisse par d’autres pièces qu’un abonnement mensuel TPG valable du 16 décembre 2013 au 15 janvier 2014 (considérants en droit n° 19 et 20 de la décision sur opposition du 19 octobre 2015). c/aa. S'agissant de la date à compter de laquelle C______ a cohabité avec son compagnon, la chambre de céans constate que, contrairement à ce que retient la décision attaquée, rien au dossier ne permet d'affirmer que le couple ferait ménage commun depuis 2012 : le recourant a certes déclaré, dans un courrier du 14 décembre 2014, que sa fille s'était installée avec son compagnon, mais il n'a jamais indiqué que tel était déjà le cas en 2012, comme l'intimée semble l'avoir compris.</w:t>
      </w:r>
    </w:p>
    <w:p>
      <w:r>
        <w:t>A/4061/2015 - 13/16 - Il résulte des déclarations concordantes de C______ et de son père – au demeurant non contestées par l'intimée – que c’est seulement depuis le mois d’août 2014 que celle-ci cohabite avec son compagnon. Auparavant, elle louait une chambre qu'elle occupait seule (procès-verbal de comparution personnelle, p. 2 ; courriel de C______ du 8 janvier 2016). c/bb. En outre, le recourant a précisé en audience que C______ avait fait la connaissance de son futur mari au Kosovo. On peut en déduire que C______ n'a pas quitté Genève dans le but de rejoindre ce dernier à Pristina mais bel et bien pour y étudier (procès-verbal de comparution personnelle, p. 2 ; Directives sur les allocations familiales, DAFam no 301.1). c/cc. L’intimée ne peut davantage être suivie lorsqu'elle retient que C______ ne serait retournée en Suisse qu'à une seule reprise, du 16 décembre 2013 au 15 janvier 2014. En effet, il résulte des pièces versées à la procédure que durant la période litigieuse, d'août 2012 à septembre 2014, C______ a effectué deux séjours supplémentaires à Genève, du 2 au 12 mars 2013 et du 28 juin au 1er août 2014 (cf. confirmation de réservation d’Easyjet et billet Maxhari Tours du 22 juin 2014). Durant la période querellée, C______ est donc venue trois fois en Suisse. Corollairement et à l'inverse de ce que soutient l'intimée, il n'y a aucune raison de douter du fait que C______ a maintenu, pendant les deux ans en question, des contacts réguliers avec sa famille, ses amis et anciens professeurs en Suisse, tant à l'occasion des voyages précités que par téléphone et par e-mail (procès-verbal de comparution personnelle, p. 2-3 ; Directives sur les allocations familiales, no 301.1). c/dd. Enfin, il doit être relevé que dans son courriel du 8 janvier 2016, C______ a déclaré : « (…) en octobre 2014, j’ai décidé de rester vivre au Kosovo jusqu’à la fin de mes propres études et de celles de mon compagnon (…) ». C’est le lieu de rappeler que, selon le Tribunal fédéral, la détermination du centre des intérêts vitaux, qui s’accompagne du renversement de la présomption érigée par l’art. 23 al. 1 CC - dont le principe est repris à l’article l’art. 7 al.1 bis OAFAM - requiert la prise en considération de tous les éléments concrets du cas particulier (ATF 137 V 122 consid. 3.7, in JdT 2011 p. 372 ss). Or, il paraîtrait difficilement conciliable avec la jurisprudence citée de ne pas tenir compte des déclarations de la fille du recourant, qui ne sont pas remises en question par l'intimée et paraissent significatives : elles tendent à démontrer que, durant la période litigieuse, C______ n’avait pas encore décidé de s’installer durablement au Kosovo. Elles consolident ainsi la présomption que son domicile n’y avait pas été transféré. c/ee. L’extrait de l’OCP et les données y figurant ne constitue qu’un simple indice, insuffisant pour renverser la présomption selon laquelle C______ a conservé son domicile en Suisse pendant la période litigieuse. Il en va de même du fait que</w:t>
      </w:r>
    </w:p>
    <w:p>
      <w:r>
        <w:t>A/4061/2015 - 14/16 - C______ ne bénéficierait plus, depuis 2012, d’une assurance-maladie en Suisse (ATF 136 II 405 consid. 4.3 et les références). Quant au mariage de C______ avec son compagnon en février 2015, il s’agit d’un fait postérieur à la période litigieuse, dénué de pertinence pour trancher la question du domicile pendant ladite période. d. En définitive, les éléments sur lesquels l'intimée fonde sa décision de restitution ne suffisent pas à renverser la présomption légale selon laquelle le domicile de C______ est demeuré en Suisse pendant la période litigieuse, d'août 2012 à septembre 2014. Il est en effet constant que C______, qui a vécu en Suisse de l’âge de deux ans jusqu’à l’âge de vingt ans, s’est rendue à Pristina dans le but d’y étudier et qu’elle a maintenu des contacts réguliers avec la Suisse pendant la période considérée. De surcroît, rien ne permet de corroborer le point de vue de l’intimée selon lequel elle aurait fait ménage commun avec son compagnon dès 2012, comme on l’a vu. Dès lors, on ne voit pas que la CAFNA ait commis une erreur, a fortiori manifeste, en versant l’allocation de formation professionnelle pendant la période querellée. Il n’y a donc pas matière à une reconsidération des décisions d’octroi de prestations de novembre 2012 et décembre 2013. Quant à une éventuelle révision, on a vu que les faits invoqués dans la décision de restitution ne permettaient pas de renverser la présomption selon laquelle C______ est réputée avoir conservé son domicile en Suisse pendant la période litigieuse. Ces faits ne permettant pas de conduire à une appréciation juridique différente de celle ayant présidé à l’octroi des prestations, le droit de l’intimée à une révision doit également être nié (ATF 126 V 23 consid. 4b et les références). Faute de motif justifiant une reconsidération ou une révision de ses décisions d’octroi de prestations entrées en force, l’intimée n'était pas fondée à supprimer l’allocation de formation versée pour C______ avec effet rétroactif au 1er août 2012 ni, partant, à exiger la restitution des prestations versées à ce titre jusqu’en septembre 2014 (CHF 10'400.-). Cette solution s’impose d’autant plus qu’aucune violation de l’obligation de renseigner n’est reprochée au recourant. e. Enfin, la chambre de céans se dispensera d’examiner la question de savoir si l’intimée pourrait éventuellement exiger une restitution pour le motif que l’épouse du recourant, apparemment salariée depuis 2011, serait l’ayant droit prioritaire des allocations familiales. D’une part, cette question ne fait pas l’objet de la décision de restitution attaquée. En effet, dans la procédure juridictionnelle administrative, ne peuvent être jugés, en principe, que les rapports juridiques à propos desquels l'autorité administrative s'est prononcée préalablement sous la forme d'une décision (ATF 125 V 413 consid. 1a ; 119 Ib 33 consid. 1b). D’autre part, il apparaît que l’intimée a renoncé à se prévaloir d’une restitution pour le motif en question. En effet, dans ses dernières écritures du 12 février 2016, elle a informé la chambre de céans que : « (…) les prestations versées à tort par le biais du dossier de Monsieur A______ à la CAFNA ont pu être directement compensées par le biais du dossier de Madame A______ à la CAFAC, sans que celles-ci lui soient facturées ».</w:t>
      </w:r>
    </w:p>
    <w:p>
      <w:r>
        <w:t>A/4061/2015 - 15/16 -</w:t>
      </w:r>
    </w:p>
    <w:p>
      <w:r>
        <w:rPr>
          <w:b/>
        </w:rPr>
        <w:t>E. 11</w:t>
      </w:r>
    </w:p>
    <w:p>
      <w:r>
        <w:t>Au vu de ce qui précède, bien fondé, le recours est admis et la décision de restitution du 19 octobre 2015 annulée. Le recourant, représenté par un mandataire, obtient gain de cause, de sorte qu’il a droit à une indemnité de dépens, que la chambre de céans fixe en l’occurrence à CHF 2’500.- (art. 89H al. 3 de la loi sur la procédure administrative du</w:t>
      </w:r>
    </w:p>
    <w:p>
      <w:r>
        <w:rPr>
          <w:b/>
        </w:rPr>
        <w:t>E. 12</w:t>
      </w:r>
    </w:p>
    <w:p>
      <w:r>
        <w:t>septembre 1985 - LPA; RS E 5 10 ; art. 6 du règlement sur les frais, émoluments et indemnités en procédure administrative du 30 juillet 1986 - RFPA ; RS E 5 10.03). Pour le surplus, la procédure est gratuite (art. 89H al. 4 LPA).</w:t>
      </w:r>
    </w:p>
    <w:p>
      <w:r>
        <w:t>A/4061/2015 - 16/16 -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