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ATAS/840/2013 vom 28. August 2013</w:t>
      </w:r>
    </w:p>
    <w:p>
      <w:r>
        <w:t>GE Cour de justice, 2013-08-28, FR</w:t>
      </w:r>
    </w:p>
    <w:p>
      <w:r>
        <w:rPr>
          <w:b/>
        </w:rPr>
        <w:t xml:space="preserve">Quelle: </w:t>
      </w:r>
      <w:r>
        <w:t>https://mcp.opencaselaw.ch/entscheid/ge_gerichte_ATAS_840_2013</w:t>
      </w:r>
    </w:p>
    <w:p>
      <w:r>
        <w:t>FR: GE_GERICHTE ATAS/840/2013 du 28 août 2013</w:t>
      </w:r>
    </w:p>
    <w:p>
      <w:r>
        <w:t>IT: GE_GERICHTE ATAS/840/2013 del 28 agosto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forme et délai prévus par la loi, le recours est recevable (art. 56 et 60 LPGA).</w:t>
      </w:r>
    </w:p>
    <w:p>
      <w:r>
        <w:rPr>
          <w:b/>
        </w:rPr>
        <w:t>E. 3</w:t>
      </w:r>
    </w:p>
    <w:p>
      <w:r>
        <w:t>Dans le cadre de la présente procédure, les parties soumettent à la Cour de céans l'accord signé en date du 10 juillet 2013, pour homologation.</w:t>
      </w:r>
    </w:p>
    <w:p>
      <w:r>
        <w:rPr>
          <w:b/>
        </w:rPr>
        <w:t>E. 4</w:t>
      </w:r>
    </w:p>
    <w:p>
      <w:r>
        <w:t>La transaction conclue durant une procédure judiciaire de recours relative à une créance en réparation du dommage selon l'art. 52 LAVS est admissible sous l'empire de la LPGA (cf. ATF 135 V 65 consid. 1 p. 67 ss). Le Tribunal fédéral considère que la décision par laquelle un tribunal radie une affaire du rôle à la suite d'une transaction judiciaire doit contenir une motivation sommaire expliquant en quoi cette transaction est conforme à l'état de fait et au droit. Déduite du droit d'être entendu, qui comprend notamment le devoir pour l'autorité administrative ou judiciaire de motiver ses décisions en lien avec le devoir de surveillance d'autres autorités, cette exigence s'applique aussi lorsque le juge ne rend pas une décision de radiation du rôle, mais un jugement au fond qui a pour objet la ratification de la transaction et dont le dispositif reprend les termes de celle- ci afin de donner à la décision un caractère exécutoire (cf. ATF 135 V 65 consid. 2.1-2.7 p. 71 ss; arrêt du Tribunal fédéral 9C_671/2009 du 16 novembre 2009 consid. 2.1).</w:t>
      </w:r>
    </w:p>
    <w:p>
      <w:r>
        <w:t>A/916/2013 - 6/10 -</w:t>
      </w:r>
    </w:p>
    <w:p>
      <w:r>
        <w:rPr>
          <w:b/>
        </w:rPr>
        <w:t>E. 5</w:t>
      </w:r>
    </w:p>
    <w:p>
      <w:r>
        <w:t>En l'espèce, les parties ont soumis à la Cour de céans une transaction, signée le 10 juillet 2013. Il convient d'examiner si ladite transaction est conforme à l'état de fait et au droit.</w:t>
      </w:r>
    </w:p>
    <w:p>
      <w:r>
        <w:rPr>
          <w:b/>
        </w:rPr>
        <w:t>E. 6</w:t>
      </w:r>
    </w:p>
    <w:p>
      <w:r>
        <w:t>a) A teneur de l’art. 52 LAVS en vigueur dès le 1er janvier 2003 (introduit par le ch.</w:t>
      </w:r>
    </w:p>
    <w:p>
      <w:r>
        <w:rPr>
          <w:b/>
        </w:rPr>
        <w:t>E. 7</w:t>
      </w:r>
    </w:p>
    <w:p>
      <w:r>
        <w:t>A titre liminaire, la Cour de céans doit 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w:t>
      </w:r>
    </w:p>
    <w:p>
      <w:r>
        <w:t>A/916/2013 - 7/10 -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b)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c) En l'espèce, le dommage est survenu le 25 septembre 2006, date du prononcé du jugement de faillite. L'intimée a eu connaissance du dommage le 2 mai 2007, date de la publication dans la FAO de la suspension de la liquidation de la faillite pour défaut d'actifs. Il s'ensuit que la décision en réparation du dommage du 16 mars 2009 est intervenue en temps utile, soit dans les délais de deux et cinq ans prescrits par l'art. 52 al. 3 LAVS. Par la suite, ledit délai a été interrompu et un nouveau délai de même durée a commencé à courir en date des 9 et 11 avril 2009 (oppositions du recourant), 21 juillet 2009 (courrier et pièces produites par le recourant), 13 août 2009 (courrier de l'intimée informant le recourant qu'elle procédait à des actes d'instruction), 12 août 2011 (courrier de l'intimée communiquant au recourant les actes de l'instruction complémentaire et lui impartissant un délai pour déposer ses conclusions), 25 août 2011 (conclusions du recourant), 14 février 2013 (décision sur opposition) et 18 mars 2013 (recours de l'intéressé). Il s'ensuit qu'à ce jour, la prescription n’est pas acquise.</w:t>
      </w:r>
    </w:p>
    <w:p>
      <w:r>
        <w:rPr>
          <w:b/>
        </w:rPr>
        <w:t>E. 8</w:t>
      </w:r>
    </w:p>
    <w:p>
      <w:r>
        <w:t>Il y a encore lieu de déterminer si le recourant peut être considéré comme étant « l’employeur » tenu de verser les cotisations à l’intimée au sens de l’art. 52 LAVS.</w:t>
      </w:r>
    </w:p>
    <w:p>
      <w:r>
        <w:t>A/916/2013 - 8/10 -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La responsabilité de l'employeur ne diffère pas selon la forme juridique que revêt l'employeur. Le Tribunal fédéral des assurances a ainsi reconnu la responsabilité non seulement des membres du conseil d'administration, mais également de l'organe de révision d'une SA, celle des directeurs d'une SA disposant du droit de signature individuelle, du gérant d'une Sàrl, ainsi que celle du président, du responsable des finances et du gérant d'une association sportive (voir par ex. l'arrêt H 34/04 du 15 septembre 2004, consid. 5.3.1 et les arrêts cités, in SVR 2005 AHV n°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237 et les références). Selon l'art. 83 CC, l'acte de fondation indique les organes de celle-ci et son mode d'administration. En l'espèce, à teneur de l'art. 8 de l'acte de fondation, le conseil de fondation est l'organe de décision, d'administration et de gestion financière. Il a les pouvoirs les plus étendus, notamment l'administration et la gestion de la fondation.</w:t>
      </w:r>
    </w:p>
    <w:p>
      <w:r>
        <w:t>A/916/2013 - 9/10 - Au vu de ce qui précède, force est d'admettre qu'en sa qualité de membre du conseil de fondation, avec une signature collective à deux, le recourant est bien un organe de la fondation faillie, de sorte que sa responsabilité est en principe engagée sous l'angle de l'art. 52 LAVS.</w:t>
      </w:r>
    </w:p>
    <w:p>
      <w:r>
        <w:rPr>
          <w:b/>
        </w:rPr>
        <w:t>E. 9</w:t>
      </w:r>
    </w:p>
    <w:p>
      <w:r>
        <w:t>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Enfin, il convient de rappeler que la responsabilité d'un organe dure en règle générale jusqu'au moment où il quitte effectivement ses fonctions et non pas jusqu'à la date où son nom est radié du registre du commerce. Cette règle vaut pour tous les cas où les démissionnaires n'exercent plus d'influence sur la marche des affaires et ne reçoivent plus de rémunération pour leur mandat d'administrateur (ATF 126 V 61). Ainsi,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w:t>
      </w:r>
    </w:p>
    <w:p>
      <w:r>
        <w:rPr>
          <w:b/>
        </w:rPr>
        <w:t>E. 10</w:t>
      </w:r>
    </w:p>
    <w:p>
      <w:r>
        <w:t>En l'espèce, le recourant conteste sa responsabilité, motif pris qu'en réalité, les organes réels étaient ceux de Y__________. Ceci ne saurait toutefois pas le dégager de toute responsabilité, étant donné que l'organe privé de ses pouvoirs ou qui a chargé un tiers de les assumer, a le devoir de veiller à la bonne exécution des tâches déléguées et de surveiller les tiers chargés de la gestion. Pour le reste, au vu des documents produits, il convient de retenir, avec l'intimée que le recourant avait démissionné de ses fonctions le 19 décembre 2003. En l'espèce, compte tenu des circonstances, de l'âge du recourant, de ses faibles moyens, du fait qu'il a dû recourir à des amis pour réunir la somme proposée, la Cour de céans considère que l'accord intervenu entre les parties est conforme au fait et au droit, étant rappelé que la part pénale pour les années en cause est entièrement couverte et que l'intimée entame des démarches afin que Monsieur I__________ s'acquitte des montant qui lui sont réclamés. Au vu de ce qui précède, la Cour de céans homologuera la transaction intervenue entre les parties.</w:t>
      </w:r>
    </w:p>
    <w:p>
      <w:r>
        <w:t>A/916/2013 - 10/10 - PAR CES MOTIFS, LA CHAMBRE DES ASSURANCES SOCIALES : Statuant conformément à l'art. 50 LPGA 1. Donne acte au recourant de ce qu'il accepte de verser à l'intimée, sans aucune reconnaissance de responsabilité, pour solde de tout compte et de toutes prétentions à son encontre, un montant de 20'000 fr. 2. L'y condamne en tant que de besoin. 3. Dit que le paiement de la somme de 20'000 fr. interviendra dès l'entrée en force du présent arrêt. 4. Compense les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