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ATAS/840/2010 vom 29. Januar 2009</w:t>
      </w:r>
    </w:p>
    <w:p>
      <w:r>
        <w:t>GE Cour de justice, 2009-01-29, FR</w:t>
      </w:r>
    </w:p>
    <w:p>
      <w:r>
        <w:rPr>
          <w:b/>
        </w:rPr>
        <w:t xml:space="preserve">Quelle: </w:t>
      </w:r>
      <w:r>
        <w:t>https://mcp.opencaselaw.ch/entscheid/ge_gerichte_ATAS_840_2010</w:t>
      </w:r>
    </w:p>
    <w:p>
      <w:r>
        <w:t>FR: GE_GERICHTE ATAS/840/2010 du 29 janvier 2009</w:t>
      </w:r>
    </w:p>
    <w:p>
      <w:r>
        <w:t>IT: GE_GERICHTE ATAS/840/2010 del 29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b) Le partage des prestations de sortie est une institution ressortissant au droit du divorce (GEISER, zur Frage des Massgeblichen Zeitpunkts beim Vorsorgeausgleich, FamPRa 2004, p. 305). Dès lors, le moment déterminant pour</w:t>
      </w:r>
    </w:p>
    <w:p>
      <w:r>
        <w:t>A/4560/2009 5/10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c)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Interprétant l'art. 2 al. 1 en relation avec l'art. 1 al. 2 LFLP, le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 306 consid. 4a p. 309 [ancien droit]). Il a cependant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selon la volonté du législateur, chaque époux a un droit inconditionnel à la moitié</w:t>
      </w:r>
    </w:p>
    <w:p>
      <w:r>
        <w:t>A/4560/2009 6/10 des expectatives de prévoyance constituées pendant le mariage (ATF 129 III 577 consid. 4 p. 578;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ATFA du 18 décembre 2003 5C.108/2003 et les références; voir aussi le cas de la retraite partielle , ATAS 786/2004 du 30 septembre 2004). Lorsque le cas de prévoyance est survenu, le partage n’est ainsi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TRINDADE, Prévoyance professionnelle, divorce et succession, SJ 2000 II p. 493; KIESER, Ehescheidung und Eintritt des Vorsorgefalles der beruflichen Vorsorge – Hinweise für die Praxis, PJA 2001 p. 155, 156; GRUTTER/SUMMERMATTER, Erstinstanzliche Erfahrungen mit dem Vorsorgeausgleich bei Scheidung, insbesondere nach art. 124 ZGB, FamPra 2002 p. 641, 647; SUTTER/ FREIBURGHAUS, Kommentar zum neuen Scheidungsrecht, n. 3 ad art. 124 CC. Contra : SCHNEIDER/BRUCHEZ, op. cit., p. 221 et note 121). d) Le Tribunal Fédéral estime que le Tribunal des assurances sociales doit suspendre la procédure d'exécution du partage si le droit aux prestations d'invalidité naît à une date rétroactive, avant l'entrée en force du jugement de divorce, ou s'il est vraisemblable qu'un tel droit à une rente naisse rétroactivement (ATF 9C_899/2007 du 28 mars 2008). Dans un arrêt récent concernant les prestations provisoires versées par la CIA, le Tribunal Fédéral rappelle d'abord que "par survenance d'un cas de prévoyance au sens des art. 122 et 124 CC, il faut entendre la naissance d'un droit concret à des prestations de la prévoyance professionnelle, qui rend impossible le partage des</w:t>
      </w:r>
    </w:p>
    <w:p>
      <w:r>
        <w:t>A/4560/2009 7/10 avoirs de prévoyance à la base des prestations servies (dans ce sens, UELI KIESER, Ehescheidung und Eintritt des Vorsorgefalles der berufliche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(arrêt B 19/03 du 30 janvier 2004 consid. 5.1, in RSAS 2004 p. 572; voir également ATF 133 V 288 consid. 4.1.2 p. 291; SUTTER/FREIBURGHAUS, Kommentar zum neuen Scheidungsrecht, 1999, n° 13 ss ad art. 122/141-142 CC, n° 1 et 3 ad art. 124 CC). En matière de prévoyance professionnelle obligatoire, la survenance d'un cas de prévoyance lié à l'invalidité concorde temporellement avec la naissance du droit à des prestations d'invalidité de l'assurance-invalidité (art. 26 al. 1 LPP; ATF 135 V 13 consid. 2.6 p. 17). Le Tribunal Fédéral précise ensuite que "la notion d'invalidité figurant dans le règlement de prévoyance de la CIA est plus large que celle qui résulte de la LAI, en tant qu'elle est définie comme étant une atteinte durable à la santé physique ou mentale du salarié entraînant une incapacité partielle ou totale de remplir sa fonction ou toute autre fonction analogue au service de l'Etat ou d'une institution externe (art. 28 al. 1; sur la notion d'invalidité de fonction, voir par exemple arrêt B 33/03 du 17 mai 2005 consid. 4.3.3). A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(cf. arrêt B 146/06 du 3 décembre 2007 consid. 7). D'après le règlement de prévoyance de la CIA, la naissance du droit à la pension d'invalidité peut ainsi varier selon que le droit est reconnu à la suite d'une décision de l'assurance-invalidité ou d'une décision du comité de la caisse. Dans la première hypothèse, le droit naît en même temps que le droit à la rente de l'assurance- invalidité (art. 28 al. 3), tandis que dans la seconde hypothèse, celui-ci naît à la date de l'introduction de la demande de mise à l'invalidité (art. 28 al. 7). Selon l'art. 31 du règlement de prévoyance, des prestations provisoires équivalant à la pension d'invalidité de la caisse peuvent toutefois être versées lorsque l'assurance-invalidité tarde à rendre sa décision. Elles sont versées au plus tôt dès la fin du droit au traitement ou aux indemnités journalières qui en tiennent lieu et prennent fin à la naissance du droit à la pension d'invalidité de la caisse si l'invalidité est reconnue par l'assurance-invalidité ou à la date de la décision de l'assurance-invalidité si l'invalidité n'est pas reconnue ou ne l'est que partiellement par l'assurance-</w:t>
      </w:r>
    </w:p>
    <w:p>
      <w:r>
        <w:t>A/4560/2009 8/10 invalidité. Les prestations provisoires sont toutefois rétablies si le comité de la caisse est invité à examiner le droit à une pension d'invalidité". Le Tribunal fédéral conclut donc que "à la lumière de la loi et du règlement (de la CIA), on ne saurait parler de la survenance d'un cas de prévoyance au sens des art. 122 et 124 CC, tant et aussi longtemps que les organes de l'assurance-invalidité, respectivement le comité de la caisse n'ont pas tranché de manière définitive la question de savoir si l'assuré peut prétendre des prestations d'invalidité. L'octroi de prestations provisoires - telles que prévues dans le règlement de prévoyance de la CIA - constitue un acte de la caisse qui ne préjuge pas de la naissance d'un droit concret à des prestations de la prévoyance professionnelle" (ATF 9C_388/2009, du 10 mai 2010).</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Les intérêts dus au demandeur sur sa prestation de libre passage accumulée avant le mariage jusqu'au divorce ont déjà été calculés par sa caisse.</w:t>
      </w:r>
    </w:p>
    <w:p>
      <w:r>
        <w:rPr>
          <w:b/>
        </w:rPr>
        <w:t>E. 4</w:t>
      </w:r>
    </w:p>
    <w:p>
      <w:r>
        <w:t>En l’espèce, le juge de première instance a ordonné le partage par moitié des prestations de sortie acquises durant le mariage par les demandeurs. Les dates pertinentes sont finalement, d’une part, celle du mariage, le 31 août 2006, d’autre part le 7 mars 2009, date à laquelle le jugement de divorce est devenu exécutoire. Conformément à la jurisprudence précitée, le versement d'une prestation provisoire par la CIA, compte tenu de la notion d'invalidité de fonction, inconnue de l'assurance invalidité fédérale, n'est pas un indice suffisant de ce que le demandeur présenterait, avant le 7 mars 2009, un état de santé rendant vraisemblable la naissance d'un droit à une rente d'invalidité de l'office AI, et par conséquent de la CIA, antérieur à cette date. La demande de prestations d'invalidité a été déposée en janvier 2009 seulement, de sorte que selon l'article 29 LAI, le droit à une rente prend naissance au plus tôt le 19 juillet 2009. D'ailleurs, le demandeur a perçu son salaire jusqu'au 11 décembre 2009.</w:t>
      </w:r>
    </w:p>
    <w:p>
      <w:r>
        <w:rPr>
          <w:b/>
        </w:rPr>
        <w:t>E. 5</w:t>
      </w:r>
    </w:p>
    <w:p>
      <w:r>
        <w:t>Selon les documents produits, la prestation acquise pendant le mariage par le demandeur est de 18'534 fr 10 (400'598 fr 25 - 382'064 fr 15) tandis que celle acquise par la demanderesse est de 1'013 fr. 40, étant précisé que le montant arrêté pour le demandeur l'est à la date du 31 mars 2009, mais que tel est aussi le cas du calcul des intérêts dus sur les avoirs accumulés avant le mariage, de sorte qu'il n'y a pas lieu de s'en écarter. S'agissant de la demanderesse, sa caisse n'a pas calculé les</w:t>
      </w:r>
    </w:p>
    <w:p>
      <w:r>
        <w:t>A/4560/2009 9/10 intérêts courus du 24 juin 2007 au 7 mars 2009, mais compte tenu du faible montant en jeu (1'013 fr 40), le Tribunal a renoncé à interpeller la caisse a ce sujet. Ainsi le demandeur doit à son ex-épouse le montant de 9'267 fr.05 (18'534 fr 10 : 2) et celle-ci doit à celui-là le montant de 506 fr 70 (1'013 fr 40 fr. : 2), de sorte que c’est le demandeur qui doit à la demanderesse le montant de 8'760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A/4560/2009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