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ATAS/83/2023 vom 7. Februar 2023</w:t>
      </w:r>
    </w:p>
    <w:p>
      <w:r>
        <w:t>GE Cour de justice, 2023-02-07, FR</w:t>
      </w:r>
    </w:p>
    <w:p>
      <w:r>
        <w:rPr>
          <w:b/>
        </w:rPr>
        <w:t xml:space="preserve">Quelle: </w:t>
      </w:r>
      <w:r>
        <w:t>https://mcp.opencaselaw.ch/entscheid/ge_gerichte_ATAS_83_2023</w:t>
      </w:r>
    </w:p>
    <w:p>
      <w:r>
        <w:t>FR: GE_GERICHTE ATAS/83/2023 du 7 février 2023</w:t>
      </w:r>
    </w:p>
    <w:p>
      <w:r>
        <w:t>IT: GE_GERICHTE ATAS/83/2023 del 7 febbraio 2023</w:t>
      </w:r>
    </w:p>
    <w:p>
      <w:pPr>
        <w:pStyle w:val="Heading2"/>
      </w:pPr>
      <w:r>
        <w:t>Erwägungen</w:t>
      </w:r>
    </w:p>
    <w:p>
      <w:r>
        <w:rPr>
          <w:b/>
        </w:rPr>
        <w:t>E. 26</w:t>
      </w:r>
    </w:p>
    <w:p>
      <w:r>
        <w:t>septembre 2010 (LOJ - E 2 05), la chambre des assurances sociales connaît, en instance unique, des contestations prévues à l'art. 56 LPGA relatives à la loi fédérale sur l’assurance-invalidité du 19 juin 1959 (LAI - RS 831.20); Qu'en vertu de l'art. 61 let. b LPGA (intitulé "procédure"), sous réserve de l’art. 1 al. 3 de la loi fédérale sur la procédure administrative du 20 décembre 1968 (PA - RS 172.021), la procédure devant le tribunal cantonal des assurances est réglée par le droit cantonal; elle doit satisfaire aux exigences suivantes (notamment)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A/4246/2022 - 3/5 - Que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du Tribunal fédéral 9C_248/2010 du 23 juin 2010, consid. 3.1; ATAS/627/2021 du 16 juin 2021 consid. 2.3.1; voir également Ueli KIESER, Bundesgesetz über den Allgemeinen Teil des Sozialversicherungsrechts (ATSG), in: Schweizerisches Bundesverwaltungsrecht [SBVR], Soziale Sicherheit, 2ème éd., n. 193 p. 299); Qu'en d'autres termes,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ATF 116 V 353 consid. 2b et les références); Que les exigences du droit fédéral relatives aux conclusions et à la motivation du recours sont limitées au minimum pour éviter tout formalisme excessif et garantir la simplicité de la procédure; que le droit cantonal – art. 89B al. 1 à 3 LPA ainsi que, par renvoi de l'art. 89A, l'art. 65 LPA – ne peut donc pas poser d’exigence supplémentaire en la matière (Jean MÉTRAL, op. cit., n. 44 ad art. 61 LPGA) et n'en pose du reste effectivement pas (cf. ATAS/954/2022 du 1er novembre 2022 consid. 4.3); Qu'en l'espèce, de l'écrit du 28 novembre 2022 de l'assuré – qui fait état de nouvelles IRM et d'une aggravation de sa situation et demande un délai pour rassembler ses rapports médicaux – ne ressortent pas une volonté claire de recourir contre la décision de l'OAI du 3 novembre 2022, ni a fortiori de quelconques conclusions (par exemple</w:t>
      </w:r>
    </w:p>
    <w:p>
      <w:r>
        <w:t>A/4246/2022 - 4/5 - annulation de celle-ci et formulation des prétentions exactes qu'il entendrait faire valoir); Que, l'intéressé n'ayant pas réagi dans le délai fixé au 16 janvier 2023 par la chambre de céans pour indiquer s'il faisait ou non recours et, si oui, préciser ou clarifier ses éventuelles conclusions, son acte du 28 novembre 2022 ne peut qu'être déclaré irrecevable; Que ceci n'exclut pas qu'à la suite dudit écrit du 28 novembre 2022 l'assuré puisse le cas échéant faire part à l'office d'une éventuelle aggravation de sa situation (en particulier l'état de santé) pour la période commençant le 4 novembre 2022 par rapport à celle existant jusqu'au prononcé le 3 novembre 2022 de la décision, cette question étant le cas échéant à clarifier par l'intéressé; Que pour le reste, compte tenu des circonstances particulières, il sera renoncé à percevoir un émolument (art. 69 al. 1bis LAI) à la charge de l'assuré. ***</w:t>
      </w:r>
    </w:p>
    <w:p>
      <w:r>
        <w:t>A/4246/2022 - 5/5 -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