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ATAS/83/2010 vom 27. Januar 2010</w:t>
      </w:r>
    </w:p>
    <w:p>
      <w:r>
        <w:t>GE Cour de justice, 2010-01-27, FR</w:t>
      </w:r>
    </w:p>
    <w:p>
      <w:r>
        <w:rPr>
          <w:b/>
        </w:rPr>
        <w:t xml:space="preserve">Quelle: </w:t>
      </w:r>
      <w:r>
        <w:t>https://mcp.opencaselaw.ch/entscheid/ge_gerichte_ATAS_83_2010</w:t>
      </w:r>
    </w:p>
    <w:p>
      <w:r>
        <w:t>FR: GE_GERICHTE ATAS/83/2010 du 27 janvier 2010</w:t>
      </w:r>
    </w:p>
    <w:p>
      <w:r>
        <w:t>IT: GE_GERICHTE ATAS/83/2010 del 27 gennaio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recours est recevable (art. 56 à 60 LPGA).</w:t>
      </w:r>
    </w:p>
    <w:p>
      <w:r>
        <w:rPr>
          <w:b/>
        </w:rPr>
        <w:t>E. 4</w:t>
      </w:r>
    </w:p>
    <w:p>
      <w:r>
        <w:t>Le litige porte sur le droit du recourant à des prestations de l'assurance-invalidité, plus particulièrement à un reclassement.</w:t>
      </w:r>
    </w:p>
    <w:p>
      <w:r>
        <w:t>A/1784/2009 - 5/11 -</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À teneur de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En vertu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Est réputé invalide au sens de l’art. 17 LAI celui qui n’est pas suffisamment réadapté, l’activité lucrative exercée jusque-là n’étant plus raisonnablement exigible ou ne l’étant plus que partiellement en raison de la forme et de la gravité de l’atteinte à la santé.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w:t>
      </w:r>
    </w:p>
    <w:p>
      <w:r>
        <w:t>A/1784/2009 - 6/11 -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6</w:t>
      </w:r>
    </w:p>
    <w:p>
      <w:r>
        <w:t>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d’invalide doit être évalué avant tout en fonction de la situation professionnelle concrète de l’assuré. En l’absence d’un revenu effectivement réalisé, la jurisprudence considère que le revenu d’invalide peut être évalué sur la base des statistiques salariales telles qu’elles résultent de l’Enquête suisse sur la structure des salaires - ESS (ATF 129 V 472 consid. 4.2.1 p. 475 ; 126 V 75 consid.</w:t>
      </w:r>
    </w:p>
    <w:p>
      <w:r>
        <w:t>A/1784/2009 - 7/11 - 3b/aa p. 76 et les références). Dans ce cas,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d’invalidité et que le secteur en question est adapté et exigible (arrêt 9C_237/2007 du 24 août 2007 consid. 5.1, non publié aux ATF 133 V 545, et les références citées). Un abattement global maximum de 25% sur le salaire statistique permet de tenir compte des différents éléments qui peuvent influencer le revenu d’une activité lucrative (cf. ATF 126 V 75 consid. 5).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La réduction des salaires ressortant des statistiques incombe en premier lieu à l'office AI, qui dispose pour cela d'un large pouvoir d'appréciation. Cela étant, le juge doit faire preuve de retenue lorsqu'il est amené à vérifier le bien- 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w:t>
      </w:r>
    </w:p>
    <w:p>
      <w:r>
        <w:t>A/1784/2009 - 8/11 - être arrondi au chiffre en pour cent supérieur ou inférieur selon les règles applicables en mathématiques.</w:t>
      </w:r>
    </w:p>
    <w:p>
      <w:r>
        <w:rPr>
          <w:b/>
        </w:rPr>
        <w:t>E. 7</w:t>
      </w:r>
    </w:p>
    <w:p>
      <w:r>
        <w:t>En l'espèce, il n'est pas contesté qu'en raison de ses atteintes à la santé et des limitations qu'elles entraînent, le recourant ne peut plus exercer son ancienne activité de préparateur de commandes. En revanche, tant la Dresse A__________, le médecin traitant du recourant, que le Dr D__________, médecin-conseil du SMR, estiment que la capacité de travail du recourant dans une activité adaptée serait de 100%. Le recourant ne conteste pas cette appréciation et ne produit aucun document de nature à mettre en doute les conclusions des médecins. Il reproche en définitive à l'intimé de ne pas avoir défini les activités compatibles avec ses limitations fonctionnelles, le marché du travail et sa formation. Le Tribunal de céans n’a dès lors aucun motif de s’écarter de l’appréciation du médecin traitant et du SMR et retient par conséquent que le recourant est, du point de vue médical, en mesure d’exercer une activité adaptée à plein temps. Pour déterminer le degré d'invalidité du recourant, il convient de procéder à une comparaison des revenus au moment de l'éventuelle naissance du droit à la rente, c'est-à-dire le 10 mars 2009. Selon les pièces du dossier, le dernier revenu annuel brut réalisé par le recourant - non contesté - s'élevait en 2008 à 50'479 fr. Ce montant doit être adapté à l'évolution des salaires nominaux, qui est de 2% au premier trimestre 2009 (cf. Office fédéral de la statistique, estimation trimestrielle de l’évolution des salaires nominaux). Ainsi, le dernier revenu annuel brut sans invalidité du recourant, réactualisé à 2009, s’élève à 51'449 fr. Quant au revenu avec invalidité du recourant, selon une jurisprudence constante, il convient de se fonder en l’occurrence sur les statistiques salariales résultant de l'ESS 2008, dès lors que le recourant n’a pas repris d’activité lucrative. Le revenu déterminant en l’occurrence est celui que peuvent réaliser les hommes dans des activités simples et répétitives (niveau 4) résultant du tableau TA1. Il y a lieu en effet d’admettre que ce revenu recouvre un large éventail d’activités variées et compatibles avec des limitations fonctionnelles peu contraignantes (cf. ATF 129 V 472 consid. 4.2). Ce revenu s'élève à 4'806 fr. par mois, soit 57'672 fr. pour l’année 2008. Il convient de l'adapter à l'évolution des salaires nominaux ainsi qu'à l'évolution de la durée normale hebdomadaire de travail prise en compte, qui est de 41,6 heures en 2008. Le revenu avec invalidité du recourant s'élève alors à 61'278 fr. ({[4'806 x 12] x 41,6 ÷ 40} x 2%). Il y a à ce stade lieu d'examiner la question de savoir si un abattement devrait être pris en considération, étant relevé que le dossier ne contient aucun détail à cet égard et que l'on ignore si et dans quelle mesure l'intimé a procédé à un tel abattement. En</w:t>
      </w:r>
    </w:p>
    <w:p>
      <w:r>
        <w:t>A/1784/2009 - 9/11 - l'espèce, le Tribunal de céans considère qu'un abattement de 10% se justifie, compte tenu des nombreuses limitations fonctionnelles du recourant et du fait que seule une activité légère est exigible, ce qui porte le revenu avec invalidité à 55'150 fr. Force est de constater, après comparaison des gains, que le recourant ne subit aucune perte de gain. C'est donc à raison que l'intimé a nié le droit du recourant à un reclassement. Sur ce point, le recours est mal fondé.</w:t>
      </w:r>
    </w:p>
    <w:p>
      <w:r>
        <w:rPr>
          <w:b/>
        </w:rPr>
        <w:t>E. 8</w:t>
      </w:r>
    </w:p>
    <w:p>
      <w:r>
        <w:t>Parmi les autres mesures d’ordre professionnel, il y a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l’orientation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L’office AI peut ordonner des stages pratiques ou un examen plus étendu dans des centres spécialisés de formation professionnelle ou de réadaptation, sur le marché libre ou dans des centres d’observation professionnelle (COPAI). A cet égard, le Tribunal de céans rappelle que si la jurisprudence a précisé qu’il était notamment nécessaire de présenter une perte de gain de 20% environ pour bénéficier d’une mesure de reclassement dans une nouvelle profession (ATF 124 V 108 consid. 2b p. 110 et les arrêts cités), elle n’a jamais fait mention d’une telle condition s’agissant des autres mesures d’ordre professionnel. L’art. 15 LAI suppose que l’assuré soit capable en principe d’opérer le choix d’une profession, mais que seule l’invalidité l’en empêche, parce que ses propres connaissances sur les aptitudes exigées et les possibilités disponibles ne sont pas suffisantes pour choisir une profession adaptée (cf. ATF 9C_882/2008 du 29 octobre 2009 ; I 154/76 du 22 novembre 1976 consid. 2, in RCC 1977 p. 206; MEYER-BLASER, Rechtsprechung des Bundesgerichts zum IVG, ad Art. 15 IVG). Tel est le cas en l’espèce. Il n’est en effet pas contesté que le recourant ne peut plus exercer son ancienne activité, compte tenu de ses limitations fonctionnelles et qu’il est apte, en principe, à faire le choix d’une profession. Il a d’ailleurs manifesté le souhait de retravailler le plus vite possible, raison pour laquelle il avait demandé à l’intimé quelles étaient les activités compatibles avec son état de santé. Le</w:t>
      </w:r>
    </w:p>
    <w:p>
      <w:r>
        <w:t>A/1784/2009 - 10/11 - recourant a cependant exposé qu’il lui était difficile de faire le choix d’une profession et qu’il était perdu dans ses recherches. Dans ces conditions, force est de constater que le recourant a droit à une orientation professionnelle et, le cas échéant, à une aide au placement.</w:t>
      </w:r>
    </w:p>
    <w:p>
      <w:r>
        <w:rPr>
          <w:b/>
        </w:rPr>
        <w:t>E. 9</w:t>
      </w:r>
    </w:p>
    <w:p>
      <w:r>
        <w:t>Au vu de ce qui précède, le recours est partiellement admis.</w:t>
      </w:r>
    </w:p>
    <w:p>
      <w:r>
        <w:rPr>
          <w:b/>
        </w:rPr>
        <w:t>E. 10</w:t>
      </w:r>
    </w:p>
    <w:p>
      <w:r>
        <w:t>Le recourant a droit à une indemnité à titre de participation à ses frais et dépens, que le Tribunal fixe à 1’000 fr. (art. 89 H al. 3 LPA). L’émolument, de 200 fr, est mis à la charge de l’intimé (art 69bis al. 1 LAI).</w:t>
      </w:r>
    </w:p>
    <w:p>
      <w:r>
        <w:t>A/1784/2009 - 11/11 -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