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ATAS/839/2017 vom 3. Oktober 2017</w:t>
      </w:r>
    </w:p>
    <w:p>
      <w:r>
        <w:t>GE Cour de justice, 2017-10-03, FR</w:t>
      </w:r>
    </w:p>
    <w:p>
      <w:r>
        <w:rPr>
          <w:b/>
        </w:rPr>
        <w:t xml:space="preserve">Quelle: </w:t>
      </w:r>
      <w:r>
        <w:t>https://mcp.opencaselaw.ch/entscheid/ge_gerichte_ATAS_839_2017</w:t>
      </w:r>
    </w:p>
    <w:p>
      <w:r>
        <w:t>FR: GE_GERICHTE ATAS/839/2017 du 3 octobre 2017</w:t>
      </w:r>
    </w:p>
    <w:p>
      <w:r>
        <w:t>IT: GE_GERICHTE ATAS/839/2017 del 3 ottobre 2017</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w:t>
      </w:r>
    </w:p>
    <w:p>
      <w:r>
        <w:t>Interjeté le 18 novembre 2016 contre la décision litigieuse du 19 octobre 2016, le recours a été formé en temps utile (art. 60 al. 1 LPGA).</w:t>
      </w:r>
    </w:p>
    <w:p>
      <w:r>
        <w:t>Il satisfait aux exigences de forme et de contenu prévues par l’art. 61 let. b LPGA (cf. aussi art. 89B LPA).</w:t>
      </w:r>
    </w:p>
    <w:p>
      <w:r>
        <w:t>Touchée par ladite décision, et ayant un intérêt digne de protection à son annulation ou à sa modification, la recourante a qualité pour recourir (art. 59 LPGA).</w:t>
      </w:r>
    </w:p>
    <w:p>
      <w:r>
        <w:t>c. Le présent recours sera donc déclaré recevable.</w:t>
      </w:r>
    </w:p>
    <w:p>
      <w:r>
        <w:rPr>
          <w:b/>
        </w:rPr>
        <w:t>E. 2</w:t>
      </w:r>
    </w:p>
    <w:p>
      <w:r>
        <w:t>À titre liminaire, il y a lieu de déterminer l’objet du litige. L’objet du litige est le rapport juridique qui – dans le cadre de l’objet de la contestation déterminé par la décision – constitue, d’après les conclusions du recours, l’objet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w:t>
      </w:r>
    </w:p>
    <w:p>
      <w:r>
        <w:t>A/3976/2016 - 18/27 - sont examinées par le juge que s’il existe un rapport de connexité étroit entre les points non contestés et l’objet du litige (arrêt du Tribunal fédéral 9C_197/2007 du 27 mars 2008, consid. 1.2 et les références). En l’espèce, la décision querellée nie à la recourante aussi bien le droit à des mesures d’ordre professionnel que celui à un trois quarts de rente après le 31 mars 2015. Cela étant, le recours dont est saisie la chambre de céans ne concerne que le droit à une rente d’invalidité. Partant, le litige ne porte que sur cet aspect de la contestation, singulièrement sur le droit de la recourante à une rente entière pour elle-même et ses deux enfants du 1er février 2013 au 31 mars 2015 et le maintien de ces prestations au-delà du 31 mars 2015.</w:t>
      </w:r>
    </w:p>
    <w:p>
      <w:r>
        <w:rPr>
          <w:b/>
        </w:rPr>
        <w:t>E. 3</w:t>
      </w:r>
    </w:p>
    <w:p>
      <w:r>
        <w:t>a. Selon la jurisprudence, il n’est pas admissible que l’administration rende plusieurs décisions – échelonnées dans le temps – pour déterminer rétroactivement le degré d’invalidité d’une personne assurée. Ainsi, l’octroi d’une rente d’invalidité dégressive et/ou temporaire doit faire l’objet d’une seule décision notifiée à un seul et même moment. Seule une telle approche est compatible avec l’obligation de l’office AI de clarifier et évaluer l’état de fait sur l’ensemble de la période courant jusqu’à la prise d’une décision. En revanche, l’administration ne saurait procéder à une évaluation anticipée de l’invalidité pour réduire et/ou limiter l’octroi d’une rente pour la période postérieure à ladite décision (ATF 131 V 164 consid. 2.3.3 et les arrêts cités).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Selon la jurisprudence, l'art. 17 LPGA sur la révision d'une rente en cours s'applique également à la décision par laquelle une rente échelonnée dans le temps est accordée avec effet rétroactif, la date de la modification étant déterminée conformément à l'art. 88a RAI (ATF 131 V 164 consid. 2.2 p. 165; 125 V 413 consid. 2d; arrêt du Tribunal fédéral 9C_134/2015 consid. 4.1 et les références). Suivant cette disposition réglementaire (al. 1),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En revanche, l'art. 88bis RAI n'est pas applicable dans cette éventualité, du moment que l'on ne se trouve pas en présence d'une révision de la rente au sens strict (ATF 125 V 413 consid. 2d; arrêt du Tribunal fédéral des assurances I 621/04 du 12 octobre 2005 consid. 3.2 et les références; MEYER/REICHMUTH, Bundesgesetz über die</w:t>
      </w:r>
    </w:p>
    <w:p>
      <w:r>
        <w:t>A/3976/2016 - 19/27 - Invalidenversicherung (IVG), 3ème éd., 2014, n. 110 ad art. 30-31; voir aussi le ch. 4018 de la Circulaire de l'OFAS sur l'invalidité et l'impotence dans l'assurance- invalidité [CIIAI], valable à partir du 1er janvier 2015). c.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5</w:t>
      </w:r>
    </w:p>
    <w:p>
      <w:r>
        <w:t>En vertu de l’art. 28 al. 2 LAI, l’assuré a droit à une rente entière s’il est invalide à 70 % au moins, à un trois-quarts de rente s'il est invalide à 60 % au moins, à une</w:t>
      </w:r>
    </w:p>
    <w:p>
      <w:r>
        <w:t>A/3976/2016 - 20/27 -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w:t>
      </w:r>
    </w:p>
    <w:p>
      <w:r>
        <w:rPr>
          <w:b/>
        </w:rPr>
        <w:t>E. 6</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w:t>
      </w:r>
    </w:p>
    <w:p>
      <w:r>
        <w:t>A/3976/2016 - 21/27 -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w:t>
      </w:r>
    </w:p>
    <w:p>
      <w:r>
        <w:rPr>
          <w:b/>
        </w:rPr>
        <w:t>E. 7</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w:t>
      </w:r>
    </w:p>
    <w:p>
      <w:r>
        <w:t>A/3976/2016 - 22/27 -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c/dd.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t>A/3976/2016 - 23/27 -</w:t>
      </w:r>
    </w:p>
    <w:p>
      <w:r>
        <w:rPr>
          <w:b/>
        </w:rPr>
        <w:t>E. 8</w:t>
      </w:r>
    </w:p>
    <w:p>
      <w:r>
        <w:t>Selon une jurisprudence constante, le juge des assurances sociales apprécie la légalité des décisions attaquées, en règle générale, d’après l’état de fait existant au moment où la décision litigieuse a été rendue (ATF 130 V 64 consid. 5.2.5, arrêt du Tribunal fédéral 9C_789/2012 du 27 juillet 2013 consid. 2.3).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arrêt du Tribunal fédéral des assurances I 321/04 du 18 juillet 2005 consid. 5).</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11</w:t>
      </w:r>
    </w:p>
    <w:p>
      <w:r>
        <w:t>En l’espèce, l’ensemble des médecins s’étant exprimés dans ce dossier s’accordent à considérer que la recourante présente, depuis février 2012, une incapacité de travail totale dans son activité de pharmacienne. En revanche, les avis divergent</w:t>
      </w:r>
    </w:p>
    <w:p>
      <w:r>
        <w:t>A/3976/2016 - 24/27 - nettement sur l’existence d’une capacité de travail dans une activité adaptée. En tant qu’elle supprime le trois quarts de rente octroyé du 1er février 2013 au 31 mars 2015 à compter du 1er avril 2015, la décision querellée se fonde sur l’avis du SMR du 13 août 2015. Ce dernier se réfère, quant à lui, au rapport d’expertise du 3 août 2015 et en déduit qu’il existe une capacité de travail sur le plan médico-théorique ne dépassant pas 50% dans une activité adaptée à ses limitations fonctionnelles (poste de travail sans contact avec des personnes malades ou potentiellement malades ou avec du matériel potentiellement vecteur de maladies ou de contaminations, diminution de la capacité d’adaptation, fatigabilité), ceci étant valable au moins depuis janvier 2015. À l’examen du rapport d’expertise du 3 août 2015, il est certes indiqué que l’exercice d’une activité adaptée est exigible « dès aujourd’hui » mais cette conclusion est assortie d’un trop grand nombre de cautèles pour être qualifiée de claire, empêchant ainsi une évaluation du taux d’invalidité de la recourante sur des bases médicales fiables et précises. En effet, les experts indiquent « qu’il faut néanmoins savoir que les personnes souffrant d’un trouble obsessionnel compulsif sévère peuvent présenter des angoisses de contamination irrationnelles quel que soit l’environnement de travail et qu’un changement de milieu n’est pas une garantie d’amélioration » (cf. p. 10 du rapport d’expertise). Les Drs H______ et I______ ajoutent que la recourante « pourrait commencer une activité adaptée à temps partiel avec une possible augmentation progressive du taux d’activité. L’exposition progressive à une activité professionnelle permettrait d’évaluer au plus juste l’évolution de sa capacité de travail ». En d’autres termes, les experts n’indiquent pas à quel taux d’activité cette reprise pourrait avoir lieu et à quelle(s) échéance(s) une/ des hausse(s) éventuelle(s) du temps de travail pourrai(en)t intervenir. Les experts font de surcroît dépendre une évaluation plus précise de la capacité de travail de la façon dont une reprise d’activité dans un environnement adapté se déroulerait. Enfin, les experts ne précisent pas si le rendement théorique de 50% qu’ils retiennent s’applique quel que soit le taux d’activité considéré. Dans ces circonstances, le SMR ne pouvait pas valablement considérer « comme les experts » (sic) que dans une activité adaptée aux limitations fonctionnelles, la capacité de travail sur le plan médico-théorique ne dépassait pas 50%. Une telle conclusion revient à fixer un taux de reprise que les experts s’abstiennent justement de préciser. En outre, la diminution de rendement de 50% retenue par ces derniers ne trouve plus aucune place dans le raisonnement du SMR, à moins d’envisager la reprise immédiate d’une activité à plein temps avec un rendement de 50%. Or, cette dernière hypothèse ne ressort nullement des conclusions du rapport d’expertise du 3 août 2015 et serait de surcroît en contradiction avec la clé de répartition retenue par l’intimé entre l’activité professionnelle (60%) et la sphère privée (40%). Force est de constater que l’interaction des divers troubles psychiques de la recourante, de même que les effets de ceux-ci sur le taux de la capacité de travail et la date à laquelle une reprise du travail est possible ne sont pas clairs. Quant aux</w:t>
      </w:r>
    </w:p>
    <w:p>
      <w:r>
        <w:t>A/3976/2016 - 25/27 - conclusions du SMR, qui substitue sa propre appréciation à celles des experts H______ et I______, elles emportent d’autant moins la conviction qu’elles ne sont corroborées ni par le rapport d’expertise du Dr F______ ni par les rapports des médecins traitants. En effet, ceux-ci s’accordent à considérer, au stade de la décision entreprise – et même au-delà – que l’incapacité de travail de la recourante demeure entière, fût-ce dans une activité adaptée. De plus, ces praticiens considèrent au mieux qu’il est trop tôt pour dire à quelle date, respectivement à quel taux la reprise d’une telle activité adaptée serait exigible. En l’état actuel, la chambre de céans ne peut pas statuer de manière définitive sur le droit aux prestations de la recourante, à tout le moins depuis le mois d’avril 2015. Il appartiendra à l’intimé d’effectuer une instruction complémentaire et d’inviter les médecins à se prononcer de manière claire, au regard de l’ensemble des atteintes psychiques de la recourante, sur l’existence d’une amélioration de l’état de santé depuis janvier 2015, les limitations fonctionnelles, le taux de capacité de travail dans l’activité habituelle et dans une activité adaptée, le rendement dans une telle activité ainsi que la date d’exigibilité d’une reprise de travail. À défaut, il conviendra d’ordonner une expertise pour répondre à ces questions.</w:t>
      </w:r>
    </w:p>
    <w:p>
      <w:r>
        <w:rPr>
          <w:b/>
        </w:rPr>
        <w:t>E. 12</w:t>
      </w:r>
    </w:p>
    <w:p>
      <w:r>
        <w:t>a. S’agissant de la période du 1er février 2013 au 31 mars 2015, la chambre de céans constate que pour l’évaluation du degré d’invalidité de la recourante, l’intimé s’est partiellement fondé – comme pour la période postérieure – sur l’enquête ménagère du 6 juin 2016. Il s’avère toutefois que l’enquêtrice était nantie des conclusions du SMR du 13 août 2015, que ce soit pour les diagnostics ou les limitations fonctionnelles. Or à cette époque, le tableau clinique et les traitements étaient encore en cours d’exploration. De plus, la Dresse D______ a retenu dans son rapport du 30 décembre 2016 que la recourante « [n’avait] pas voulu être mal jugée [par l’enquêtrice] et [avait] exagéré sur ses capacités ». Cela étant, les rapports des médecins traitants ne permettent pas à la chambre de céans, en l’état, de se prononcer sur l’existence d’un droit qui, aux dires de la recourante, serait supérieur à un trois-quarts de rente sur la période du 1er février 2013 au 31 mars 2015 (et au-delà), ne serait-ce qu’en raison de l’absence de renseignements exploitables de ces médecins sur les empêchements de la recourante dans la sphère ménagère. b. Selon la jurisprudence, une enquête économique sur le ménage est un moyen de preuve approprié, y compris pour évaluer l’invalidité de personnes souffrant d’une atteinte à la santé psychique. Ce n’est qu’à titre exceptionnel, singulièrement lorsque les déclarations de l’assuré ne concordent pas avec les constatations faites sur le plan médical qu’il faut confier à un médecin le soin de procéder à une estimation des empêchements que l’intéressé rencontre dans ses activités habituelles. Toutefois, en cas de divergences entre les résultats de l’enquête économique sur le ménage et les constatations d’ordre médical relatives à la capacité d’accomplir les travaux habituels, ces dernières ont en règle générale plus de poids. Mais encore faut-il que le rapport médical en cause ait valeur probante au</w:t>
      </w:r>
    </w:p>
    <w:p>
      <w:r>
        <w:t>A/3976/2016 - 26/27 - sens de la jurisprudence, à savoir notamment que les points litigieux aient fait l’objet d’une étude circonstanciée, que le rapport se fonde sur des examens complets et que les conclusions de l’expert soient dûment motivées (cf. VSI 3/2004 p. 137 consid. 5.3 et 6 et les références).</w:t>
      </w:r>
    </w:p>
    <w:p>
      <w:r>
        <w:t>c. Vu l’absence, dans le cas concret, de constatations précises sur le plan médical relatives aux capacités réelles de la recourante d’accomplir ses travaux habituels, il incombera également à l’intimé de demander aux médecins – le cas échéant à l’expert désigné – de se prononcer sur l’empêchement de la recourante dans chacune des activités habituelles faisant l’objet du rapport d’enquête économique sur le ménage et d’indiquer le taux d’empêchement – et l’évolution de celui-ci depuis février 2012 – dans chacune des activités en question.</w:t>
      </w:r>
    </w:p>
    <w:p>
      <w:r>
        <w:rPr>
          <w:b/>
        </w:rPr>
        <w:t>E. 13</w:t>
      </w:r>
    </w:p>
    <w:p>
      <w:r>
        <w:t>a. Au vu de ce qui précède, le recours doit être partiellement admis, la décision querellée être annulée en tant qu’elle supprime la rente d’invalidité (et les deux rentes pour enfant qui y sont liées) au 31 mars 2015 et la cause être renvoyée à l’intimé pour instruction complémentaire dans le sens des considérants et nouvelle décision. b. La procédure de recours en matière de contestations portant sur l’octroi ou le refus de prestations de l’assurance-invalidité étant soumise à des frais de justice (art. 69 al. 1bis LAI; art. 89H al. 4 LPA), il y a lieu de condamner l’intimé au paiement d'un émolument, arrêté au minimum de CHF 200.-. Une indemnité de procédure doit être allouée à la recourante, qui obtient partiellement gain de cause et est représentée par un avocat (art. 61 let. g LPGA). Cette indemnité sera arrêtée à CHF 2'500.- (art. 6 du règlement sur les frais, émoluments et indemnités en procédure administrative du 30 juillet 1986 – RFPA – E 5 10.03).</w:t>
      </w:r>
    </w:p>
    <w:p>
      <w:r>
        <w:t>***</w:t>
      </w:r>
    </w:p>
    <w:p>
      <w:r>
        <w:t>A/3976/2016 - 27/27 -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