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ATAS/838/2024 vom 28. Oktober 2024</w:t>
      </w:r>
    </w:p>
    <w:p>
      <w:r>
        <w:t>GE Cour de justice, 2024-10-28, FR</w:t>
      </w:r>
    </w:p>
    <w:p>
      <w:r>
        <w:rPr>
          <w:b/>
        </w:rPr>
        <w:t xml:space="preserve">Quelle: </w:t>
      </w:r>
      <w:r>
        <w:t>https://mcp.opencaselaw.ch/entscheid/ge_gerichte_ATAS_838_2024</w:t>
      </w:r>
    </w:p>
    <w:p>
      <w:r>
        <w:t>FR: GE_GERICHTE ATAS/838/2024 du 28 octobre 2024</w:t>
      </w:r>
    </w:p>
    <w:p>
      <w:r>
        <w:t>IT: GE_GERICHTE ATAS/838/2024 del 28 ottobre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Interjeté dans la forme et le délai prévus par la loi, le recours est prima facie recevable (art. 56 et 60 de la LPGA ; art. 89B de la loi sur la procédure administrative du 12 septembre 1985 [LPA-GE - E 5 10]).</w:t>
      </w:r>
    </w:p>
    <w:p>
      <w:r>
        <w:rPr>
          <w:b/>
        </w:rPr>
        <w:t>E. 2</w:t>
      </w:r>
    </w:p>
    <w:p>
      <w:r>
        <w:t>Le litige porte sur le droit de l’intimée de supprimer le versement des prestations d’assurance au recourant tant que celui-ci refuse de se soumettre à une expertise neuropsychologique, psychiatrique et neurologique. Il porte également sur la question de savoir si l’intimée a commis un déni de justice en ne se prononçant pas sur le droit du recourant à une rente d’invalidité et sur le montant de l’IPAI.</w:t>
      </w:r>
    </w:p>
    <w:p>
      <w:r>
        <w:t>A/192/2019813/2024 - 10/17 - En revanche, il ne porte pas, à ce stade et à teneur de la décision litigieuse, sur le lien de causalité entre les atteintes orthopédiques du recourant et l’accident, pas plus que sur l’examen de la valeur probante de l’expertise du Dr K______.</w:t>
      </w:r>
    </w:p>
    <w:p>
      <w:r>
        <w:rPr>
          <w:b/>
        </w:rPr>
        <w:t>E. 3.1</w:t>
      </w:r>
    </w:p>
    <w:p>
      <w:r>
        <w:t>Selon l’art. 43 LPGA, l’assurance examine les demandes, prend d’office les mesures d’instruction nécessaires et recueille les renseignements dont il a besoin. Les renseignements donnés oralement doivent être consignés par écrit (al. 1) ; l’assurance détermine la nature et l’étendue de l’instruction nécessaire (al. 1bis) ; l’assuré doit se soumettre à des examens médicaux ou techniques si ceux-ci sont nécessaires à l’appréciation du cas et qu’ils peuvent être raisonnablement exigés (al. 2) ; si l’assuré ou d’autres requérants refusent de manière inexcusable de se conformer à leur obligation de renseigner ou de collaborer à l’instruction, l’assurance peut se prononcer en l’état du dossier ou clore l’instruction et décider de ne pas entrer en matière. Il doit leur avoir adressé une mise en demeure écrite les avertissant des conséquences juridiques et leur impartissant un délai de réflexion convenable (al. 3).</w:t>
      </w:r>
    </w:p>
    <w:p>
      <w:r>
        <w:rPr>
          <w:b/>
        </w:rPr>
        <w:t>E. 3.2</w:t>
      </w:r>
    </w:p>
    <w:p>
      <w:r>
        <w:t>Selon l’art. 55 al. 2 OLAA, l’assuré ou ses survivants doivent donner tous les renseignements nécessaires et tenir à disposition les pièces qui servent à déterminer les circonstances et les suites de l’accident et à fixer les prestations d’assurance, en particulier les rapports médicaux, les rapports d’expertises, les radiographies et les pièces permettant de déterminer le gain de l’assuré.110 Ils doivent autoriser des tiers à fournir de tels documents et à donner des renseignements (al. 1) ; l’assuré doit se soumettre à d’autres mesures d’investigation ordonnées par l’assurance en vue d’un diagnostic et de la fixation des prestations, en particulier aux examens médicaux que l’on peut raisonnablement lui imposer. Ne sont pas raisonnablement exigibles les mesures médicales qui représentent un danger pour la vie ou la santé de l’assuré (al. 2).</w:t>
      </w:r>
    </w:p>
    <w:p>
      <w:r>
        <w:rPr>
          <w:b/>
        </w:rPr>
        <w:t>E. 3.3</w:t>
      </w:r>
    </w:p>
    <w:p>
      <w:r>
        <w:t>Les conséquences procédurales prévues en cas de violation de l’obligation de renseigner ou de collaborer n’entrent en considération que si le comportement de la personne assurée peut être qualifié d’inexcusable. Tel est le cas lorsqu’aucun motif légitime n’est perceptible ou lorsque le comportement de la personne assurée apparait comme totalement incompréhensible. Il en va différemment lorsque la personne assurée n’est pas en mesure, en raison d’une maladie ou pour d’autres motifs, de donner suite aux mesures ordonnées ou refuse de se soumettre à une nouvelle expertise, parce que le dossier contient déjà une expertise conforme aux exigences de la jurisprudence (arrêt du Tribunal fédéral U 571/2006 du 29 mai 2007 ; DUPONT / MOSER-SZELESS, Commentaire romand, Loi sur la partie générale des assurances sociales, édition 2018, n. 51, p. 544).</w:t>
      </w:r>
    </w:p>
    <w:p>
      <w:r>
        <w:rPr>
          <w:b/>
        </w:rPr>
        <w:t>E. 4</w:t>
      </w:r>
    </w:p>
    <w:p>
      <w:r>
        <w:t>A/192/2019813/2024 - 11/17 -</w:t>
      </w:r>
    </w:p>
    <w:p>
      <w:r>
        <w:rPr>
          <w:b/>
        </w:rPr>
        <w:t>E. 4.1</w:t>
      </w:r>
    </w:p>
    <w:p>
      <w:r>
        <w:t>D'après un principe applicable dans la procédure administrative en général, lorsqu'une autorité de recours statue, explicitement ou implicitement,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L'autorité inférieure voit donc sa latitude de jugement limitée par les motifs du jugement de renvoi, en ce sens qu'elle est liée par ce qui a été déjà définitivement tranché par l'autorité de recours, laquelle ne saurait, de son côté, revenir sur sa décision à l'occasion d'un recours subséquent (arrêt du Tribunal fédéral 9C_350/2011 du 3 janvier 2012, consid. 4.1). Des faits « nouveaux » importants, qui existaient déjà avant l'arrêt de renvoi mais ont été découverts subséquemment par l'intéressé (faux nova), peuvent rompre l'autorité attachée à l'arrêt de renvoi (arrêts du Tribunal fédéral 8C_152/2012 du 3 août 2012, consid. 4.1 et 4.2 ; 9C_340/2013 du 25 juin 2013 consid. 3.1 et 3.2). Ainsi, une autorité administrative doit se conformer aux instructions d’un jugement de renvoi (arrêt du Tribunal fédéral 9C_115/2021 du 15 décembre 2021).</w:t>
      </w:r>
    </w:p>
    <w:p>
      <w:r>
        <w:rPr>
          <w:b/>
        </w:rPr>
        <w:t>E. 4.2</w:t>
      </w:r>
    </w:p>
    <w:p>
      <w:r>
        <w:t>En principe, seul le dispositif du jugement est revêtu de l’autorité de chose jugée. Toutefois, lorsque le dispositif se réfère expressément aux considérants, ceux-ci acquièrent eux-mêmes la force matérielle (arrêt du Tribunal fédéral 9C_837/2011 du 29 juin 2012 ; ATF 138 V 298 consid. non publié 4.2). Pour connaitre le sens et la portée exacts du dispositif, il faut parfois se référer aux considérants en droit du jugement (ATF 142 III 210).</w:t>
      </w:r>
    </w:p>
    <w:p>
      <w:r>
        <w:rPr>
          <w:b/>
        </w:rPr>
        <w:t>E. 5</w:t>
      </w:r>
    </w:p>
    <w:p>
      <w:r>
        <w:t>En l’espèce, l’arrêt de la chambre de céans du 2 décembre 2019, contre lequel l’intimée a renoncé à recourir, est devenu définitif et dit, dans son dispositif, que les troubles neuropsychologiques et psychiques dont souffre le recourant sont en lien de causalité avec l’accident et que ce dernier a droit, postérieurement au 1er novembre 2017, au versement de prestations temporaires pour ces troubles. La cause a été renvoyée à l’intimée pour instruction des atteintes orthopédiques, puis détermination du droit du recourant à une rente complémentaire d’invalidité et à une IPAI.</w:t>
      </w:r>
    </w:p>
    <w:p>
      <w:r>
        <w:rPr>
          <w:b/>
        </w:rPr>
        <w:t>E. 5.1</w:t>
      </w:r>
    </w:p>
    <w:p>
      <w:r>
        <w:t>La chambre de céans a considéré que l’expertise pluridisciplinaire du G______, comprenant les volets psychiatrique, neurologique et neuropsychologique était probante. Selon celle-ci, les troubles neuropsychologiques et psychiques présentés par le recourant étaient en lien de causalité naturelle et adéquate avec l’accident ; le recourant présentait une capacité de travail nulle comme agent de sécurité et au mieux de 50% dans une activité adaptée, soit une activité à faible responsabilité, au sein d’une petite équipe, n’impliquant pas ou peu de contact avec la clientèle et ne le plaçant pas en situation de rythme de travail imposé, ceci afin de permettre l’aménagement de pauses, un fractionnement des horaires et une surveillance, par un tiers</w:t>
      </w:r>
    </w:p>
    <w:p>
      <w:r>
        <w:t>A/192/2019813/2024 - 12/17 - responsable, de ses productions. Le tableau paraissait stabilisé et ne devait plus évoluer de façon significative. Au demeurant, une instruction complémentaire n’a été jugée nécessaire par la chambre de céans que concernant l’aspect orthopédique, à l’exclusion des volets psychiatrique, neuropsychologique et neurologique. En particulier, le renvoi à l’intimée pour calculer à nouveau l’IPAI n’a pas été conditionné à une nouvelle expertise psychiatrique, la chambre de céans ayant uniquement précisé qu’il incombait à l’intimée d’effectuer une nouvelle évaluation globale, tenant compte des aspects psychiatrique, neuropsychologique et, le cas échéant, après instruction complémentaire, orthopédique. Par ailleurs, la capacité de travail de 50% arrêtée par le G______ devait être analysée après l’instruction orthopédique, afin de déterminer si elle était également compatible avec une activité professionnelle.</w:t>
      </w:r>
    </w:p>
    <w:p>
      <w:r>
        <w:rPr>
          <w:b/>
        </w:rPr>
        <w:t>E. 5.2</w:t>
      </w:r>
    </w:p>
    <w:p>
      <w:r>
        <w:t>L’intimée, qui n’invoque aucun motif de révision qui justifierait de s’écarter de l’arrêt de renvoi, est liée par celui-ci. À cet égard, F______ a confirmé, dans ses appréciations des 30 janvier et 23 mai 2023, que l’état du recourant était stable depuis plusieurs années, ce que les spécialistes consultés par l’intimée, le Dr M______ et N______, ont également confirmé. Le Dr M______ a indiqué qu’il ne semblait pas y avoir de fait nouveau, l’état étant considéré comme stabilisé en 2016 (avec un conditionnel sur l’éventualité d’un progrès) et N______ a souligné que le cas était stabilisé depuis de nombreuses années, au plus tard depuis l’expertise neuropsychologique d’août 2016. Dans son dernier avis du 28 avril 2024, celle-ci a répété que l’état de santé neuropsychologique en soi du recourant n’allait pas changer et n’avait pas changé depuis 2016 ; son état était stabilisé du point de vue neuropsychologique. Elle s’est ainsi bornée à mentionner qu’une majoration des symptômes ne pouvait pas être exclue, sans évoquer d’éléments concrets probants, et a estimé que la création, en 2020, d’un groupe de travail dans le but notamment d’édicter de nouvelles lignes directrices, ainsi que la rédaction d’un article approfondi de mise à jour des connaissances et pratiques, à laquelle elle avait participé, justifiaient de qualifier l’expertise neuropsychologique du G______ de non probante ainsi que la mise sur pied d’une nouvelle expertise. En particulier, elle souligne que le recourant présente une incapacité de travail au moins partielle depuis de nombreuses années, non reconnue jusqu’ici bien que présente, en relevant qu’il existe une incohérence entre, d’une part, une aptitude à la conduite du recourant et, d’autre part, la sévérité des troubles allégués et leur impact sur la capacité de travail. Or, cette conclusion est prise sans avoir examiné le recourant, ni testé celui-ci, et ignore les conclusions de l’expertise du G______, laquelle retient déjà une capacité de travail partielle du recourant. Au vu de ce qui précède, N______ s’est principalement attachée à mettre en cause la valeur probante de l’expertise du G______ et à proposer, pour ce motif, une nouvelle expertise pluridisciplinaire. Or, ces griefs auraient dû être soulevés dans</w:t>
      </w:r>
    </w:p>
    <w:p>
      <w:r>
        <w:t>A/192/2019813/2024 - 13/17 - le cadre d’un recours à l’encontre de l’arrêt de renvoi de la chambre de céans, dès lors que celui-ci a reconnu une pleine valeur probante à l’expertise du G______. Quant au Dr L______, comme relevé par le recourant, il n’a pas du tout tenu compte du dossier médical, puisqu’il propose une expertise pluridisciplinaire au motif qu’aucune expertise neuropsychologique ou multidisciplinaire n’est présente au dossier, ignorant totalement le rapport d’expertise pluridisciplinaire du G______. L’intimée n’a même pas pris la peine d’attirer son attention sur cette erreur, ce qui aurait éventuellement permis d’obtenir un avis probant de son médecin-conseil. Dans ces conditions, l’imposition au recourant par l’intimée, sur la base de l’avis du médecin-conseil et de N______, d’une nouvelle expertise pluridisciplinaire, psychiatrique, neurologique et neuropsychologique, n’est pas justifiée et est contraire à l’arrêt de renvoi précité. Elle l’est d’autant moins qu’aucun élément nouveau n’est avancé par l’intimée pour justifier une nouvelle appréciation médicale, l’évocation d’un article scientifique, auquel N______ aurait participé postérieurement à l’expertise du G______, ne pouvant être qualifiée de fait nouveau, dans le sens de faux nova, tout comme le fait que les connaissances sur l’évaluation de l’effort et la validité des symptômes auraient évolué.</w:t>
      </w:r>
    </w:p>
    <w:p>
      <w:r>
        <w:rPr>
          <w:b/>
        </w:rPr>
        <w:t>E. 5.3</w:t>
      </w:r>
    </w:p>
    <w:p>
      <w:r>
        <w:t>Au vu de ce qui précède, les avis médicaux invoqués ne permettent pas de justifier la nécessité d’une nouvelle expertise pluridisciplinaire, laquelle apparait comme un procédé de l’intimée visant à mettre en cause l’expertise du G______ jugée probante par la chambre de céans et à revenir sur l’arrêt de renvoi du 2 décembre 2019, ce qui n’est pas autorisé. On ne saurait, dans ces conditions, considérer que le refus du recourant est inexcusable au sens de l’art. 43 LPGA ou que l’expertise pluridisciplinaire peut raisonnablement lui être imposée au sens de l’art. 55 OLAA. La suppression des prestations au 30 septembre 2023 pour défaut de collaboration du recourant est, ainsi, injustifiée.</w:t>
      </w:r>
    </w:p>
    <w:p>
      <w:r>
        <w:rPr>
          <w:b/>
        </w:rPr>
        <w:t>E. 6</w:t>
      </w:r>
    </w:p>
    <w:p>
      <w:r>
        <w:t>Le recourant se plaint également d’un déni de justice de la part de l’intimée.</w:t>
      </w:r>
    </w:p>
    <w:p>
      <w:r>
        <w:rPr>
          <w:b/>
        </w:rPr>
        <w:t>E. 6.1</w:t>
      </w:r>
    </w:p>
    <w:p>
      <w:r>
        <w:t>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œuvre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w:t>
      </w:r>
    </w:p>
    <w:p>
      <w:r>
        <w:t>A/192/2019813/2024 - 14/17 -</w:t>
      </w:r>
    </w:p>
    <w:p>
      <w:r>
        <w:rPr>
          <w:b/>
        </w:rPr>
        <w:t>E. 6.2</w:t>
      </w:r>
    </w:p>
    <w:p>
      <w:r>
        <w:t>L’art. 29 al. 1 Cst.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144 I 318 consid. 7.1 et les références ; 131 V 407 consid. 1.1 et les références). Entre autres critères sont notamment déterminants le degré de complexité de l'affaire, l'enjeu que revêt le litige pour l'intéressé ainsi que le comportement de ce dernier et celui des autorités compétentes (ATF 143 IV 373 consid. 1.3.1 et les références) mais aussi la difficulté à élucider les questions de fait (expertises, par exemple; arrêt du Tribunal fédéral des assurances C 53/01 du 30 avril 2001 consid. 2.2), mais non des circonstances sans rapport avec le litige, telle une surcharge de travail de l'autorité (ATF 130 I 312 consid. 5.2 ;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 ce qui est déterminant, c’est le fait que l’autorité n’ait pas agi ou qu’elle ait agi avec retard (ATF 124 V 133 ; 117 Ia 117 consid. 3a et 197 consid. 1c ; arrêts du Tribunal fédéral des assurances I 819/02 du 23 avril 2003 consid. 2.1 et C 53/01 du 30 avril 2001 consid. 2).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lorsqu'aucun d'eux n'est d'une durée vraiment choquante, c'est l'appréciation d'ensemble qui prévaut. Un certain pouvoir d'appréciation quant aux priorités et aux mesures à prendre pour faire avancer l'instruction doit aussi être reconnu à l'autorité. Selon la jurisprudence, apparaissent comme des carences choquantes une activité de treize ou quatorze mois au stade de l'instruction ou encore un délai de dix ou onze mois pour que le dossier soit transmis à l'autorité de recours (arrêt du Tribunal fédéral 8C_162/2022 du 9 août 2022 consid. 5.1 et les références).</w:t>
      </w:r>
    </w:p>
    <w:p>
      <w:r>
        <w:t>A/192/2019813/2024 - 15/17 -</w:t>
      </w:r>
    </w:p>
    <w:p>
      <w:r>
        <w:rPr>
          <w:b/>
        </w:rPr>
        <w:t>E. 6.3</w:t>
      </w:r>
    </w:p>
    <w:p>
      <w:r>
        <w:t>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et 129 V 411 consid. 1.3). Pour le surplus, l'autorité saisie d'un recours pour retard injustifié ne saurait se substituer à l'autorité précédente pour statuer au fond. Elle ne peut qu'inviter l'autorité concernée à statuer à bref délai (ATF 130 V 90 ; arrêt du Tribunal fédéral 8C_162/2022 du 9 août 2022 consid. 4.2 et les références). L’art. 69 al. 4 LPA prévoit que si la juridiction administrative admet le recours pour déni de justice ou retard injustifié, elle renvoie l’affaire à l’autorité inférieure en lui donnant des instructions impératives.</w:t>
      </w:r>
    </w:p>
    <w:p>
      <w:r>
        <w:rPr>
          <w:b/>
        </w:rPr>
        <w:t>E. 6.4</w:t>
      </w:r>
    </w:p>
    <w:p>
      <w:r>
        <w:t>À titre d’exemple, un déni de justice a été admis par le tribunal cantonal des assurances sociales dans un cas où l’OAI, neuf mois après un jugement lui ordonnant de mettre en place une expertise, n’avait pas encore entrepris de démarches en ce sens (ATAS/430/2005 du 10 mai 2005).</w:t>
      </w:r>
    </w:p>
    <w:p>
      <w:r>
        <w:rPr>
          <w:b/>
        </w:rPr>
        <w:t>E. 7</w:t>
      </w:r>
    </w:p>
    <w:p>
      <w:r>
        <w:t>En l’occurrence, il convient de constater que l’intimée a commis un déni de justice en ne rendant aucune décision à ce jour, selon les instructions de l’arrêt de renvoi du 2 décembre 2019.</w:t>
      </w:r>
    </w:p>
    <w:p>
      <w:r>
        <w:rPr>
          <w:b/>
        </w:rPr>
        <w:t>E. 7.1</w:t>
      </w:r>
    </w:p>
    <w:p>
      <w:r>
        <w:t>En effet, ce dernier enjoignait l’intimée à effectuer une instruction limitée aux atteintes orthopédiques du recourant et à rendre une décision sur la détermination du droit du recourant à une rente et à la fixation du montant de l’IPAI. Or, l’intimée n’a mis en œuvre une expertise orthopédique qu’en 2022 (rapport du Dr K______ rendu le 22 mars 2022) et n’a, à ce jour, toujours pas statué sur le droit du recourant à une rente d’invalidité et sur le montant de l’IPAI, sans motif pouvant justifier ce retard. Bien au contraire, on constate que le 22 juin 2021, le recourant mettait en demeure l’intimée de rendre une décision et le 1er juillet 2021 l’intimée lui répondait qu’elle s’excusait pour avoir bâclé l’instruction du dossier depuis une année. Le 7 juillet 2021, le recourant a requis, en vain, une décision de l’intimée d’ici au 30 août 2021. Après la reddition du rapport du Dr K______ le 22 mars 2022, le recourant l’a contesté le 15 septembre 2022. L’intimée a requis un complément d’expertise auprès du Dr K______, réalisé le 24 janvier 2023, puis elle a exigé le 17 avril 2023 du recourant qu’il se soumette, comme on l’a vu sans fondement, à une expertise neuropsychologique, contestée par le recourant le 24 avril 2023, puis également à une expertise psychiatrique et neurologique, position que l’intimée a maintenu jusqu’à la décision litigieuse.</w:t>
      </w:r>
    </w:p>
    <w:p>
      <w:r>
        <w:rPr>
          <w:b/>
        </w:rPr>
        <w:t>E. 7.2</w:t>
      </w:r>
    </w:p>
    <w:p>
      <w:r>
        <w:t>Au vu de ce qui précède, l’absence de décision de l’intimée sur le droit à la rente d’invalidité et le montant de l’IPAI, plus de quatre ans après l’arrêt de renvoi du 2 décembre 2019, constitue un déni de justice, compte tenu du fait que le recourant a mis en demeure à plusieurs reprises l’intimée de rendre une décision et que celle-ci n’a fait valoir aucun motif valable expliquant ce retard.</w:t>
      </w:r>
    </w:p>
    <w:p>
      <w:r>
        <w:t>A/192/2019813/2024 - 16/17 - Dans ces conditions, l’intimée sera invitée à rendre, dans les meilleurs délais, une décision dans le respect de l’arrêt du 2 décembre 2019.</w:t>
      </w:r>
    </w:p>
    <w:p>
      <w:r>
        <w:rPr>
          <w:b/>
        </w:rPr>
        <w:t>E. 8</w:t>
      </w:r>
    </w:p>
    <w:p>
      <w:r>
        <w:t>Vu l’issue du recours, lequel est admis tant sur le fond que pour déni de justice, une indemnité de procédure de CHF 3'500.- sera allouée au recourant (art. 61 let. g LPGA ; art. 6 du règlement sur les frais, émolument et indemnités en matière administrative du 30 juillet 1986 [RFPA – E 5 10.03]). Pour le surplus, la procédure est gratuite (art. 61 let. fbis LPGA a contrario).</w:t>
      </w:r>
    </w:p>
    <w:p>
      <w:r>
        <w:t>A/192/2019813/2024 - 17/17 -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