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ATAS/838/2019 vom 23. September 2019</w:t>
      </w:r>
    </w:p>
    <w:p>
      <w:r>
        <w:t>GE Cour de justice, 2019-09-23, FR</w:t>
      </w:r>
    </w:p>
    <w:p>
      <w:r>
        <w:rPr>
          <w:b/>
        </w:rPr>
        <w:t xml:space="preserve">Quelle: </w:t>
      </w:r>
      <w:r>
        <w:t>https://mcp.opencaselaw.ch/entscheid/ge_gerichte_ATAS_838_2019</w:t>
      </w:r>
    </w:p>
    <w:p>
      <w:r>
        <w:t>FR: GE_GERICHTE ATAS/838/2019 du 23 septembre 2019</w:t>
      </w:r>
    </w:p>
    <w:p>
      <w:r>
        <w:t>IT: GE_GERICHTE ATAS/838/2019 del 23 settembre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(cf. art. 49 al. 3 LMC et art. 89B de la loi sur la procédure administrative du 12 septembre 1985 [LPA - E 5 10]).</w:t>
      </w:r>
    </w:p>
    <w:p>
      <w:r>
        <w:rPr>
          <w:b/>
        </w:rPr>
        <w:t>E. 3</w:t>
      </w:r>
    </w:p>
    <w:p>
      <w:r>
        <w:t>Le litige porte sur le bien-fondé de la décision de l'OCE de révoquer la décision d'octroi des AIT.</w:t>
      </w:r>
    </w:p>
    <w:p>
      <w:r>
        <w:rPr>
          <w:b/>
        </w:rPr>
        <w:t>E. 4</w:t>
      </w:r>
    </w:p>
    <w:p>
      <w:r>
        <w:t>Aux termes de l'art. 7 LACI, pour prévenir et combattre le chômage, l’assurance fournit des contributions destinées au financement : a. d’un service efficace de conseil et de placement; b. de mesures relatives au marché du travail en faveur des assurés; c. d’autres mesures régies par la présente loi. Elle fournit les prestations suivantes, à savoir l’indemnité de chômage (let. a), l’indemnité en cas de réduction de l’horaire de travail (let. c), l’indemnité en cas d’intempéries (let. d) et l’indemnité en cas d’insolvabilité de l'employeur (let. e).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w:t>
      </w:r>
    </w:p>
    <w:p>
      <w:r>
        <w:t>A/526/2019 - 7/15 -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l'art. 90 al. 3 OACI,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(ATF 126 V 42; arrêt du Tribunal fédéral des assurances C 14/ 02 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w:t>
      </w:r>
    </w:p>
    <w:p>
      <w:r>
        <w:t>A/526/2019 - 8/15 - subventionnement des employeurs par l'assurance-chômage (ATF 126 V 45 consid. 2a et les références).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w:t>
      </w:r>
    </w:p>
    <w:p>
      <w:r>
        <w:t>A/526/2019 - 9/15 - p. 28 consid. 4b), la jurisprudence rendue sous l’empire de l’art. 4 aCst. étant toujours valable (ATF 124 V 94 consid. 4b ; 122 V 162 consid. 1d).</w:t>
      </w:r>
    </w:p>
    <w:p>
      <w:r>
        <w:rPr>
          <w:b/>
        </w:rPr>
        <w:t>E. 7</w:t>
      </w:r>
    </w:p>
    <w:p>
      <w:r>
        <w:t>a. En l'espèce, force est de constater, au vu de la jurisprudence précitée, qu'en signant le formulaire de demande des AIT le 28 mai 2018, l'employeur s'est valablement engagé à rembourser les AIT, sur ordre de la caisse de chômage compétente, si le contrat de travail devait être résilié pendant la période d’initiation ou dans les trois mois suivants, dans la mesure où il ne s’agissait pas d’un licenciement pour justes motifs au sens de l’art. 337 CO. b. Selon l'art. 337 al. 1 CO, l'employeur et le travailleur peuvent résilier immédiatement le contrat en tout temps pour de justes motifs ;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(art. 337 al. 2 CO).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 127 III 351 consid. 4a p. 354 ; arrêt du Tribunal fédéral 4A_137/2014 du 10 juin 2014). Les justes motifs doivent être invoqués sans tarder sous peine de forclusion (ATF 112 II 41; ATF 123 III 86).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w:t>
      </w:r>
    </w:p>
    <w:p>
      <w:r>
        <w:t>A/526/2019 - 10/15 -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a conclu, dans cet arrêt, que les griefs d’arrivées tardives, formés à l’encontre de l’employé n’étaient pas propres à rompre le rapport de confiance entre les parties jusqu’à l’issue du délai de préavis de congé de deux mois (arrêt du Tribunal fédéral 4C.403/2004 du 1er février 2005). Une prestation du travailleur mauvaise ou insuffisante n’est pas à elle seule un motif de licenciement immédiat. Un renvoi immédiat ne peut se justifier que si les carences sont si graves qu’elles empêchent de satisfaire même les exigences minimales du poste (Christian FAVRE / Charles MUNOZ / Rolf A. TOBLER, Le contrat de travail, Lausanne 2001, art. 337 CO n. 1.11).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 123 III 86 consid. 2a). Un délai général de réflexion d'une durée de deux à trois jours ouvrables est présumé approprié. Une prolongation de quelques jours n'est admissible qu'à titre exceptionnel, selon les circonstances particulières du cas concret (ATF 130 III 28 ibidem ; arrêt du Tribunal fédéral 4C.291/2005 du 13 décembre 2006). La mesure extrême qu’est le licenciement immédiat suppose que la continuation des rapports de travail soit inexigible de l'employeur (arrêt du Tribunal fédéral 4A_228/2015 du 29 septembre 2015. Ainsi,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 4C.291/2005 du 13 décembre 2005 consid. 3 et 4 et 4C.348/2003 du 24 août 2004 consid. 3.3) ou qu'il ait été donné pendant une période de protection contre les licenciements en temps inopportun (WYLER/HEINZER, Droit du travail, 3e éd. 2014, p. 596; cf. consid. 5.4 ci- dessous). Le travailleur n'a ni à protester contre le licenciement injustifié, ni à continuer à offrir ses services (arrêt du Tribunal fédéral 4A_372/2016 du 2 février 2017 -). c. Selon la jurisprudence de la chambre de céans, lorsque l'employeur ne licencie pas son employé concrètement sur la base de l’art. 337 CO, il renonce à se prévaloir d’un licenciement pour justes motifs, de sorte que des justes motifs au sens de l’art. 337 CO ne peuvent pas être retenus (ATAS/505/2016 du 28 juin 2016 consid. 6c ; ATAS/376/2016 du 17 mai 2016 consid. 6a; ATAS/61/2016 du</w:t>
      </w:r>
    </w:p>
    <w:p>
      <w:r>
        <w:t>A/526/2019 - 11/15 - 26 janvier 2016 consid. 11; ATAS/102/2016 du 4 février 2016 consid. 7; ATAS/158/2016 du 1er mars 2016 consid. 13). d. Le Tribunal fédéral a jugé qu'il n’est pas exclu de considérer une résiliation comme étant survenue pour de justes motifs, même si cela n'était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w:t>
      </w:r>
    </w:p>
    <w:p>
      <w:r>
        <w:rPr>
          <w:b/>
        </w:rPr>
        <w:t>E. 10</w:t>
      </w:r>
    </w:p>
    <w:p>
      <w:r>
        <w:t>Au vu de ce qui précède, la chambre de céans estime superflu d’administrer d’autres preuves (appréciation anticipée des preuves ; ATF 122 II 469 consid. 4a ; 122 III 223 consid. 3c), car le résultat d'investigations complémentaires ne changerait rien à l'issue du litige.</w:t>
      </w:r>
    </w:p>
    <w:p>
      <w:r>
        <w:rPr>
          <w:b/>
        </w:rPr>
        <w:t>E. 11</w:t>
      </w:r>
    </w:p>
    <w:p>
      <w:r>
        <w:t>Mal fondé, le recours ne peut qu'être rejeté.</w:t>
      </w:r>
    </w:p>
    <w:p>
      <w:r>
        <w:rPr>
          <w:b/>
        </w:rPr>
        <w:t>E. 12</w:t>
      </w:r>
    </w:p>
    <w:p>
      <w:r>
        <w:t>Pour le surplus, la procédure est gratuite (art. 61 lettre a LPGA et 89H al. 1 LPA)</w:t>
      </w:r>
    </w:p>
    <w:p>
      <w:r>
        <w:t>A/526/2019 - 15/15 -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