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ATAS/838/2017 vom 3. Oktober 2017</w:t>
      </w:r>
    </w:p>
    <w:p>
      <w:r>
        <w:t>GE Cour de justice, 2017-10-03, FR</w:t>
      </w:r>
    </w:p>
    <w:p>
      <w:r>
        <w:rPr>
          <w:b/>
        </w:rPr>
        <w:t xml:space="preserve">Quelle: </w:t>
      </w:r>
      <w:r>
        <w:t>https://mcp.opencaselaw.ch/entscheid/ge_gerichte_ATAS_838_2017</w:t>
      </w:r>
    </w:p>
    <w:p>
      <w:r>
        <w:t>FR: GE_GERICHTE ATAS/838/2017 du 3 octobre 2017</w:t>
      </w:r>
    </w:p>
    <w:p>
      <w:r>
        <w:t>IT: GE_GERICHTE ATAS/838/2017 del 3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a. Le recours doit être déposé dans les trente jours suivant la notification de la décision sujette à recours (art. 60 al. 1 LPGA). Interjeté en date du 20 octobre 2016 contre la décision 26 septembre 2016, le recours a été formé en temps utile. b. En vertu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L’intéressé doit néanmoins manifester clairement et par écrit sa volonté d’en obtenir la modification ; à défaut, l’écriture qu’il produit ne peut être</w:t>
      </w:r>
    </w:p>
    <w:p>
      <w:r>
        <w:t>A/3556/2016 - 18/27 - considérée comme une déclaration de recours (ATF 116 V 353 consid. 2b et les références ; arrêt du Tribunal fédéral des assurances I 501/02 du 28 janvier 2003 consid. 2.2). Les conclusions et les motifs peuvent résulter implicitement du mémoire de recours. Toutefois, il faut pouvoir déduire de ce dernier, considéré dans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332 ; 113 IB 287 ; arrêt du Tribunal fédéral des assurances P 68/04 du 16 février 2005). En l’espèce, si l’acte de recours ne contient pas un exposé des faits, des motifs et de conclusions précises, il ressort néanmoins clairement des écritures du recourant, lequel n’est pas représenté, qu’il conteste la négation de son droit à de nouvelles mesures d’ordre professionnel et considère ne pas être responsable de l’échec des précédentes mesures. c. Partant, le recours interjeté dans la forme et le délai prévus par la loi est recevable (art. 56ss LPGA ; art. 89B de la loi genevoise sur la procédure administrative du 12 septembre 1985 [LPA - E 5 10]).</w:t>
      </w:r>
    </w:p>
    <w:p>
      <w:r>
        <w:rPr>
          <w:b/>
        </w:rPr>
        <w:t>E. 4</w:t>
      </w:r>
    </w:p>
    <w:p>
      <w:r>
        <w:t>L’objet du litige dans la procédure administrative contentieuse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et les références). En l’occurrence, bien qu’intitulée « Refus de rente d’invalidité », la décision litigieuse porte sur le droit du recourant à une rente et à des mesures professionnelles. Le recourant n’a pas pris de conclusions formelles et s’est référé au « refus de rente d’invalidité ». Il a souligné que l’intimé lui était d’une grande aide et le motivait à être actif dans le domaine du travail (recours du 20 octobre 2016). Il s’est déclaré déterminé « à réintégrer le programme de réinsertion » de l’intimé et « intéressé par divers domaines professionnels », précisant que son manque d’expérience lui portait préjudice dans la recherche d’un emploi (écriture du 13 février 2017). Il a insisté sur les difficultés causées par son</w:t>
      </w:r>
    </w:p>
    <w:p>
      <w:r>
        <w:t>A/3556/2016 - 19/27 - manque de formation et contesté être responsable de l’échec des précédentes mesures (écriture du 8 mars 2017). Il appert donc qu’il requiert uniquement l’octroi de nouvelles mesures d’ordre professionnel et ne conteste pas la décision en ce qu’elle porte sur le refus d’une rente, singulièrement sur le calcul de son degré d’invalidité fixé à 3%. Partant, le litige tel que circonscrit par les conclusions du recourant porte exclusivement sur le droit à des mesures d’ordre professionnel.</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230 consid. 3c ; 117 V 275 consid. 2b ; 117 V 394 consid. 4b et les arrêts cités). La réadaptation par soi-même est un aspect de l’obligation de diminuer le dommage et prime aussi bien le droit à une rente qu’à celui des mesures de réadaptation.</w:t>
      </w:r>
    </w:p>
    <w:p>
      <w:r>
        <w:rPr>
          <w:b/>
        </w:rPr>
        <w:t>E. 6</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l’al. 1bis, le droit aux mesures de réadaptation n’est pas lié à l’exercice d’une activité lucrative préalable. Lors de la fixation de ces mesures, il est tenu compte de la durée probable de la vie professionnelle restante. L’al. 3 let. b prévoit que les mesures de réadaptation comprennent des mesures d’ordre professionnel, soit l’orientation professionnelle, la formation professionnelle initiale, le reclassement, le placement et l’aide en capital.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w:t>
      </w:r>
    </w:p>
    <w:p>
      <w:r>
        <w:t>A/3556/2016 - 20/27 -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c. D’après la Circulaire sur les mesures de réadaptation d’ordre professionnel de l’Office fédéral des assurances sociales (ci-après : CMRP, valable à partir du 1er janvier 2014), n’entrent en considération, pour l’octroi de prestations, que les mesures qui correspondent aux capacités et, dans la mesure du possible, aux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et dans des centres de formation pour bien portants (CMRP ch. 1006).</w:t>
      </w:r>
    </w:p>
    <w:p>
      <w:r>
        <w:rPr>
          <w:b/>
        </w:rPr>
        <w:t>E. 7</w:t>
      </w:r>
    </w:p>
    <w:p>
      <w:r>
        <w:t>a. Selon l’art. 15 LAI, l’assuré auquel son invalidité rend difficile le choix d’une profession ou l’exercice de son activité antérieure a droit à l’orientation professionnelle. b. Le Tribunal fédéral a rappelé que l’orientation professionnelle se démarque des autres mesures d’ordre professionnel (art. 16ss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w:t>
      </w:r>
    </w:p>
    <w:p>
      <w:r>
        <w:t>A/3556/2016 - 21/27 - profession adaptée (arrêt du Tribunal fédéral 9C_882/2008 du 29 octobre 2009 consid. 5.1 et les références). c. L’orientation professionnelle, qui inclut les conseils aux adultes en matière de carrière, a pour but de cerner la personnalité des assurés et de déterminer leurs capacités et dispositions sur lesquelles fonder le choix d’une formation ou d’une activité professionnelle appropriée, ou d’une activité dans un autre domaine, voire un placement adéquat (CMRP ch. 2001). Ont droit à l’orientation professionnelle les assurés qui, étant limités dans le choix d’une profession ou dans l’exercice de leur activité antérieure en raison de leur invalidité, ont besoin d’une orientation professionnelle spécialisée (CMRP ch. 2001).</w:t>
      </w:r>
    </w:p>
    <w:p>
      <w:r>
        <w:rPr>
          <w:b/>
        </w:rPr>
        <w:t>E. 8</w:t>
      </w:r>
    </w:p>
    <w:p>
      <w:r>
        <w:t>a. À teneur de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L’art. 5 al. 1 du règlement sur l’assurance-invalidité du 17 janvier 1961 (RAI – RS 831.201) prévoit que sont réputées formation professionnelle initiale toute formation professionnelle initiale au sens de la loi fédérale du</w:t>
      </w:r>
    </w:p>
    <w:p>
      <w:r>
        <w:rPr>
          <w:b/>
        </w:rPr>
        <w:t>E. 13</w:t>
      </w:r>
    </w:p>
    <w:p>
      <w:r>
        <w:t>La chambre de céans observe en premier lieu que tous les organismes chargés du suivi du recourant ont régulièrement relevé son manque de faculté subjective. Ainsi, le recourant s’est montré peu flexible et peu disponible lorsqu’il s’agissait de convenir d’un rendez-vous, a régulièrement annulé à la dernière minute ses entretiens ou s’y est présenté avec un retard non négligeable, a manifesté un manque d’intérêt face aux différentes suggestions qui lui étaient faites et ce, que ce soit dans ses relations avec l’intimé (cf. notes et rapports de l’intimé des</w:t>
      </w:r>
    </w:p>
    <w:p>
      <w:r>
        <w:rPr>
          <w:b/>
        </w:rPr>
        <w:t>E. 16</w:t>
      </w:r>
    </w:p>
    <w:p>
      <w:r>
        <w:t>octobre 2012, 19 février et 25 avril 2014), ou avec le centre ORIF (cf. note de l’intimé du 1er novembre 2012), la Fondation PRO (cf. notes de l’intimé des</w:t>
      </w:r>
    </w:p>
    <w:p>
      <w:r>
        <w:rPr>
          <w:b/>
        </w:rPr>
        <w:t>E. 19</w:t>
      </w:r>
    </w:p>
    <w:p>
      <w:r>
        <w:t>février, 28 mars et 17, 29 et 30 avril 2013 ; rapport de la Fondation PRO du 13 mai 2013) ou encore les EPI (cf. bilans des EPI des 31 mars 2015, 11 avril et 27 mai 2016, notes de l’intimé des 8, 11 et 18 décembre 2015). Il sera en particulier rappelé que lors de la mesure réalisée auprès de la Fondation PRO entre le 18 février et le 30 avril 2013, le recourant a été présent seulement</w:t>
      </w:r>
    </w:p>
    <w:p>
      <w:r>
        <w:rPr>
          <w:b/>
        </w:rPr>
        <w:t>E. 22</w:t>
      </w:r>
    </w:p>
    <w:p>
      <w:r>
        <w:t>jours sur les 50 jours ouvrables, et que seules deux absences ont été médicalement justifiées et 15 annoncées. En outre, sur les jours de présence, le recourant n’avait été ponctuel que sept fois (cf. rapport de la Fondation PRO du 13 mai 2013). De même, lors des mesures mises en œuvre par les EPI, il a été absent à de nombreuses reprises, avançant souvent des raisons jugées peu convaincantes et approximatives (cf. rapport des EPI du 31 mars 2015), ne prévenant presque jamais de ses absences et étant en retard aussi bien les matins que les après-midi (cf. bilans des EPI des 11 avril et 27 mai 2016). Les différents intervenants ont constaté, depuis l’octroi des premières mesures, une attitude et un comportement peu favorables à une réinsertion professionnelle « réaliste réalisable et durable » (cf. sommation de l’intimé du 17 avril 2013), étant notamment souligné que le recourant devait apprendre à s’invertir lorsqu’il effectuait un travail pour lequel il présentait moins d’intérêt (cf. bilan des EPI du 29 mai 2015). Il a régulièrement été constaté qu’il se désengageait (cf. note de l’intimé du 8 décembre 2015) et il a d’ailleurs manifesté ouvertement son manque de motivation à plusieurs reprises (cf. notes de l’intimé des 25 avril 2013 et 18 décembre 2015, bilan des EPI du 27 mai 2016). Son manque d’investissement est à l’origine de tous les échecs des mesures mises en œuvre, y compris celle dont il a pu bénéficier avant l’intervention de l’intimé, à savoir les cours de rattrapage à l’UOG en 2012. La première orientation professionnelle, prévue du 18 février au 17 mai 2013, a dû être interrompue le 30 avril 2013 compte tenu des manquements du recourant, qui avait pourtant reçu une mise en demeure de la part de l’intimé car il cumulait les absences et les retards injustifiés (cf. courrier de l’intimé du 17 avril 2013). Lors de la préformation aux EPI comprenant une mesure</w:t>
      </w:r>
    </w:p>
    <w:p>
      <w:r>
        <w:t>A/3556/2016 - 24/27 - préparatoire en entreprise, laquelle devait se dérouler du 13 septembre 2015 au 21 août 2016, le comportement du recourant, lequel ne prévenait jamais de ses absences, cumulait les arrivées tardives, était désinvolte en cours et adoptait une attitude inadéquate (cf. bilan des EPI du 11 avril 2016), a rendu nécessaire la conclusion d’un contrat d’objectifs. Malgré cet élément et la communication d’une sommation formelle rappelant au recourant ses obligations et les conséquences en cas d’inobservations, l’intéressé n’a pas modifié son comportement, de sorte que l’intimé a mis un terme avec effet immédiat à la mesure le 2 mai 2016. 14. Le recourant soutient que ses absences et manquements étaient liés à des problèmes de santé, en particulier à un état de fatigue important. 15. Au niveau somatique, si le Dr B______ a mentionné de nombreuses limitations fonctionnelles dans son rapport du 15 février 2012, dont des restrictions concernant les positions debout, accroupie et à genoux, ou encore le port de charge et le travail avec les bras au-dessus de la tête, il a clairement indiqué par la suite que la sclérose en plaque dont souffre le recourant était en rémission, qu’aucune restriction n’était à mettre en place au niveau des activités ou des horaires, qu’il n’y avait aucun inconvénient à ce que son patient fasse des stages en entreprise dans le cadre de son orientation (cf. bilan intermédiaire des EPI du 31 mars 2015) et qu’il n’existait pas de contre-indication à une activité professionnelle particulière (cf. bilan des EPI du 29 mai 2015). Il a d’ailleurs été relevé, lors de l’expertise psychiatrique réalisée en 2014, que le recourant ne présentait plus de symptômes liés à sa maladie somatique depuis plus d’une année (cf. rapport du Dr G______ du 18 août 2014). Les différentes périodes d’observation ont confirmé que le recourant possédait de très bonnes aptitudes manuelles et les compétences physiques nécessaires pour toutes les activités déployées (cf. rapport de la Fondation PRO du 13 mai 2013, bilans des EPI des 31 mars et 29 mai 2015). En ce qui concerne les apnées du sommeil diagnostiquées en 2016, le médecin traitant a relevé que la période d’ajustements thérapeutiques avait justifié des absences (cf. rapport du Dr B______ du 25 janvier 2017). Il n’a toutefois pas remis de certificat d’arrêt de travail à son patient lorsque ce dernier avait invoqué des troubles du sommeil en décembre 2015. Il a uniquement attesté d’une incapacité de travail pour des jours isolés en mars 2016, soit les 8, 14, 15 et 30 mars et d’une incapacité de travail à 50% dès le 7 avril 2016 (cf. rapport des EPI du 27 mai 2016). Ainsi, les troubles du sommeil invoqués par le recourant ne sont pas de nature à justifier ses réitérés manquements, au demeurant préexistants à cette affection, ce d’autant plus qu’il a pu bénéficier d’aménagement en termes d’horaires, conformément à son souhait. Sur le plan neuropsychologique, les premiers examens réalisés par Mme F______ en 2012 ont suggéré que les troubles mnésiques, exécutifs et attentionnels, ainsi que le ralentissement, d’origine multifactorielle, ne permettraient pas à l’intéressé de suivre une formation de type CFC, mais qu’il était doté de capacités de raisonnement compatibles avec une formation dispensée avec un certain</w:t>
      </w:r>
    </w:p>
    <w:p>
      <w:r>
        <w:t>A/3556/2016 - 25/27 - encadrement, avec un rendement estimé à 60%, mais susceptible d’être amélioré. Cependant, les mesures mises en œuvre par l’intimé ont démontré que le recourant était dans l’ensemble tout à fait en mesure d’assimiler des consignes orales et de les appliquer dans un temps donné, que son niveau de compréhension et l’exécution de ses travaux étaient bons, qu’il possédait les capacités suffisantes pour effectuer un travail de qualité avec un bon rythme (cf. rapport de la Fondation PRO du 13 mai 2013), qu’il avait de bonnes compétences cognitives, bien qu’il soit limité par des difficultés de concentration, un manque d’initiative et d’autonomie, ainsi qu’un faible niveau en mathématiques (cf. rapport des EPI du 29 mai 2015). Les EPI ont d’ailleurs considéré que le recourant pourrait envisager une formation de niveau AFP (cf. courrier des EPI du 3 juillet 2015) et plusieurs stages ont permis de valider ses aptitudes physiques, cognitives et relationnelles. Le recourant a été jugé apte à intégrer le circuit économique ordinaire, étant relevé qu’il avait su maintenir le rythme de travail imposé par les entreprises et avait progressé dans les apprentissages théoriques. Son aptitude à suivre une formation AFP a été confirmée à plusieurs reprises (cf. courrier des EPI du 9 octobre 2015 et rapport des EPI du</w:t>
      </w:r>
    </w:p>
    <w:p>
      <w:r>
        <w:rPr>
          <w:b/>
        </w:rPr>
        <w:t>E. 27</w:t>
      </w:r>
    </w:p>
    <w:p>
      <w:r>
        <w:t>mai 2016). Enfin, il sera rappelé à toutes fins utiles que l’intimé a pris soin d’ordonner une expertise psychiatrique afin de déterminer si le recourant présentait une atteinte à la santé psychique ayant des répercussions sur sa capacité de travail. Seule une consommation de cannabis a été retenue, laquelle avait une influence sur le rythme nycthéméral, et par conséquent sur la fatigue, et sur la motivation. En revanche, le recourant ne souffrait d’aucune limitation fonctionnelle et sa capacité de travail était entière. 16. Partant, les pièces du dossier permettent de retenir, au degré de la vraisemblance prépondérante requis, que les mesures d’ordre professionnel accordées étaient parfaitement adaptées à l’état de santé et aux facultés du recourant. 17. Compte tenu de l’ensemble de ces circonstances, on ne saurait considérer que des mesures supplémentaires seraient de nature à favoriser la réadaptation de l’intéressé dans la vie active. Au contraire, elles semblent selon toute vraisemblance dénuées de chances de succès, dès lors que le recourant n’a pas fait preuve d’une réelle motivation à se former, qu’il a ouvertement et à plusieurs reprises fait part de son désintérêt pour les mesures qu’il avait initialement choisies, qu’il a continuellement transgressé les règles, pourtant élémentaires, et qui lui avaient été maintes fois rappelées, concernant notamment les absences et la ponctualité. Son attitude a eu des effets négatifs sur sa participation et la réussite de plusieurs mesures d’ordre professionnel qui ont dû être interrompues de façon anticipée. Partant, de nouvelles mesures de réadaptation ne sont ni nécessaires ni appropriées. En prononcer encore ne respecterait pas le principe selon lequel doit exister un rapport raisonnable entre la durée et les coûts de la mesure, d’une part, et l’efficacité de la réadaptation, d’autre part.</w:t>
      </w:r>
    </w:p>
    <w:p>
      <w:r>
        <w:t>A/3556/2016 - 26/27 - Enfin, il sera rappelé à l’attention du recourant, d’une part, que le but des mesures de réadaptation n’est pas de se substituer à un emploi et, d’autre part, que les assurés n’ont pas un droit inconditionnel et illimité à en obtenir. 18. C’est donc à bon droit que l’intimé a refusé l’octroi de nouvelles mesures de réadaptation. 19. Au vu de ce qui précède, le recours sera rejeté. Étant donné que depuis le 1er juillet 2006, la procédure n'est plus gratuite (art. 69 al. 1bis LAI), il y a lieu de condamner le recourant au paiement d'un émolument de CHF 200.-. C’est le lieu de préciser que la pratique de la chambre de céans - et auparavant du TCAS - est de dispenser du paiement d’un émolument les personnes au bénéfice de l’assistance juridique (ATAS/302/2010 du 23 mars 2010 ; voir également les ATAS 546/2012 du 25 avril 2012 et ATAS/953/2009 du 24 juillet 2009). Or, dans la mesure où le recourant n’a ni requis et encore moins obtenu l’assistance juridique, il n’y a pas lieu de le dispenser des frais.</w:t>
      </w:r>
    </w:p>
    <w:p>
      <w:r>
        <w:t>* * * * *</w:t>
      </w:r>
    </w:p>
    <w:p>
      <w:r>
        <w:t>A/3556/2016 - 27/27 -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