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ATAS/838/2011 vom 12. September 2011</w:t>
      </w:r>
    </w:p>
    <w:p>
      <w:r>
        <w:t>GE Cour de justice, 2011-09-12, FR</w:t>
      </w:r>
    </w:p>
    <w:p>
      <w:r>
        <w:rPr>
          <w:b/>
        </w:rPr>
        <w:t xml:space="preserve">Quelle: </w:t>
      </w:r>
      <w:r>
        <w:t>https://mcp.opencaselaw.ch/entscheid/ge_gerichte_ATAS_838_2011</w:t>
      </w:r>
    </w:p>
    <w:p>
      <w:r>
        <w:t>FR: GE_GERICHTE ATAS/838/2011 du 12 septembre 2011</w:t>
      </w:r>
    </w:p>
    <w:p>
      <w:r>
        <w:t>IT: GE_GERICHTE ATAS/838/2011 del 12 settembre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t>A/246/2011 - 8/14 -</w:t>
      </w:r>
    </w:p>
    <w:p>
      <w:r>
        <w:rPr>
          <w:b/>
        </w:rPr>
        <w:t>E. 3</w:t>
      </w:r>
    </w:p>
    <w:p>
      <w:r>
        <w:t>Le recours du 27 janvier 2011 contre la décision sur opposition du 15 décembre 2010 a été interjeté dans les délai et forme prescrits par la loi, compte tenu de la suspension des délais du 18 décembre au 2 janvier inclusivement (art. 38 al. 4 let. c et 56 ss LPGA). Il est par conséquent recevable.</w:t>
      </w:r>
    </w:p>
    <w:p>
      <w:r>
        <w:rPr>
          <w:b/>
        </w:rPr>
        <w:t>E. 4</w:t>
      </w:r>
    </w:p>
    <w:p>
      <w:r>
        <w:t>Le litige porte sur le droit du recourant à des prestations complémentaires fédérales et cantonales, en particulier sur la question de savoir s’il se justifie de prendre en compte dans le calcul de ces prestations un montant à titre de gain potentiel de la conjointe. A cet égard, il convient d’observer que l’intimé a tenu compte d’un gain potentiel de l’épouse du recourant à compter du 1er juin 2008. Toutefois, jusqu’au 31 mars 2009, les revenus du recourant, en arrêt maladie mais rémunéré par son employeur (cf. certificat de salaire 2008 et courrier de l’Hospice général du 28 mai 2009), ont été largement supérieurs aux dépenses reconnues et ne justifiaient pas l’octroi de prestations complémentaires, indépendamment de la prise en compte d’un gain potentiel du conjoint. Ce n’est donc qu’à compter du 1er avril 2009 que le gain potentiel du conjoint influence le droit aux prestations complémentaires.</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(art. 4 al. 1 let. c). Le montant de la prestation complémentaire annuelle correspond à la part des dépenses reconnues qui excède les revenus déterminants (art. 9 al. 1 LPC). Les revenus déterminants au sens de l'art. 11 LPC comprennent notamment deux tiers des ressources en espèces ou en nature provenant de l’exercice d’une activité lucrative, pour autant qu’elles excèdent annuellement 1'500 fr. pour les couples (let. a), le produit de la fortune mobilière et immobilière (let. b) ainsi que les rentes, pensions et autres prestations périodiques, y compris les rentes de l'AVS et de l'AI (let. d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du revenu déterminant pour les prestations complémentaires cantonales, il y a lieu de préciser qu'il est calculé conformément aux règles fixées dans la loi fédérale, moyennant certaines adaptations qui ne sont pas pertinentes en l'espèce (art. 5 LPCC let. c). Quant au gain hypothétique du conjoint du bénéficiaire des prestations, les considérations qui seront développées ci-dessous en matière de prestations</w:t>
      </w:r>
    </w:p>
    <w:p>
      <w:r>
        <w:t>A/246/2011 - 9/14 - fédérales s’appliquent mutatis mutandis, les principes valables en droit cantonal étant les mêmes que ceux qui s’appliquent en la matière en droit fédéral (ATAS/1473/2009, du 26 novembre 2009 ; ATAS/845/2005 du 5 novembre 2005).</w:t>
      </w:r>
    </w:p>
    <w:p>
      <w:r>
        <w:rPr>
          <w:b/>
        </w:rPr>
        <w:t>E. 6</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w:t>
      </w:r>
    </w:p>
    <w:p>
      <w:r>
        <w:t>A/246/2011 - 10/14 -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w:t>
      </w:r>
    </w:p>
    <w:p>
      <w:r>
        <w:rPr>
          <w:b/>
        </w:rPr>
        <w:t>E. 7</w:t>
      </w:r>
    </w:p>
    <w:p>
      <w:r>
        <w:t>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w:t>
      </w:r>
    </w:p>
    <w:p>
      <w:r>
        <w:t>A/246/2011 - 11/14 -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ATF non publié du 26 novembre 2009, cause 9C_150/2009). b) En l’absence d’un revenu effectivement réalisé, il y a lieu de se référer aux données statistiques, telles qu’elles résultent des enquêtes sur la structure des salaires (ESS)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l’autorité intimée a estimé que l’épouse du recourant pourrait obtenir dès le 1er avril 2009 un montant annuel de 41'161 fr. en exerçant à plein temps une activité dans le domaine du nettoyage. Le recourant fait quant à lui valoir que son épouse ne peut exercer une telle activité au motif qu’elle présenterait des troubles à la santé. Il rappelle également que la présence de son épouse à ses côtés est indispensable.</w:t>
      </w:r>
    </w:p>
    <w:p>
      <w:r>
        <w:t>A/246/2011 - 12/14 - S’agissant de la question de savoir si l’état du recourant nécessite une surveillance stricte, il y a lieu de rappeler que dans son arrêt du 22 février 2010, le TCAS avait retenu que ce fait n’avait pas été établi au degré de la vraisemblance requis (ATAS/171/2010). En l’absence de nouveaux éléments produits par le recourant à ce sujet dans le cadre de la présente procédure, force est de constater que le motif invoqué par le recourant ne peut être retenu. S’agissant des circonstances personnelles de l’épouse, il résulte de l’instruction menée par la Cour de céans, que l’intéressée présente effectivement des atteintes à la santé qui ont une répercussion sur sa capacité de travail, à savoir une myosite ossifiante touchant ses membres inférieurs et son coude droit entraînant un blocage du coude à 90° et une raideur fonctionnelle du rachis (Dresse M__________, procès-verbal d’audition du 9 mai 2011) ainsi qu’un syndrome vertigineux avec perte de l’équilibre (Dr L__________, rapport du 28 juin 2011). La Dresse M__________ a confirmé que l’activité de nettoyeuse était difficilement compatible avec les limitations fonctionnelles présentées par sa patiente. Quant au Dr L__________, il a également estimé qu’un poste en position assise, tel que celui de réceptionniste, est le plus adapté aux troubles. S’agissant du taux de la capacité de travail de l’intéressée, la Dresse M__________ a déclaré penser qu’une activité à plein temps serait exigible de la part de sa patiente. Cela étant, dans la mesure où cette praticienne s’est déterminée compte tenu de la seule atteinte rhumatologique, il convient plutôt de retenir le taux d’incapacité travail estimé par le Dr L__________, soit 50%, qui tient compte non seulement de la myosite ossifiante, mais également du syndrome vertigineux avec perte de l’équilibre. Il est rappelé par ailleurs que l’épouse du recourant, âgée de 56 ans au moment de la décision litigieuse, et sans enfants à charge, a travaillé au Brésil en tant qu’employée de bureau pendant plusieurs années ainsi qu’en dernier lieu dans le domaine de la vente à domicile, avant d’arriver à Genève en 1999, où elle a bénéficié, entre avril 2000 et avril 2001, de cours de français et d’un stage d’entraînement en entreprise. Compte tenu de ce qui précède, il apparaît exigible de la part de l’intéressée qu’elle contribue à l'entretien de la famille par l'exercice d'une activité lucrative à 50% dans une activité peu qualifiée en position assise (un travail en usine par exemple). Le salaire de référence à prendre en compte est par conséquent celui auquel peuvent prétendre les femmes effectuant des activités simples et répétitives dans le secteur privé (RAMA 2001 n° U 439 p. 347), à savoir 4’116 fr. par mois (tous secteurs confondus) - valeur en 2008 - part au 13ème salaire comprise (ESS, Tableau TA1, niveau de qualification 4), soit 49’392 fr. par année. Ce salaire hypothétique représente, compte tenu du fait que les salaires bruts standardisés se basent sur un horaire de travail de quarante heures, soit une durée hebdomadaire inférieure à la moyenne usuelle dans les entreprises en 2008 (41.6 heures; La Vie économique, 1/2 -2009, tableau B9.2) un revenu annuel de 51’368 fr. (49’392 fr. x 41.6 : 40), qu’il convient encore d’indexer à l’année 2009 (51’368 x 2552 / 2499) soit 52'457 fr. Compte tenu d’un taux de capacité de travail</w:t>
      </w:r>
    </w:p>
    <w:p>
      <w:r>
        <w:t>A/246/2011 - 13/14 - de 50% (26'228 fr.) et d’un abattement de 25% lequel se justifie au vu de l’âge, du taux d’occupation et de l’activité sédentaire seule possible, le salaire hypothétique annuel de l’intéressée en 2009 s’élève à 19'671 fr. (26'228 - 6’557). Déduction faite de 1'500 fr. (18'171 fr), les deux tiers de cette somme correspondent à 12'114 fr., qui constituent le gain potentiel à prendre en considération dans le calcul des prestations dues au recourant dès le 1er avril 2009.</w:t>
      </w:r>
    </w:p>
    <w:p>
      <w:r>
        <w:rPr>
          <w:b/>
        </w:rPr>
        <w:t>E. 9</w:t>
      </w:r>
    </w:p>
    <w:p>
      <w:r>
        <w:t>Vu ce qui précède, le recours sera partiellement admis, les décisions litigieuses annulées et le dossier renvoyé à l’intimé pour nouveau calcul des prestations complémentaires dues au recourant au sens des considérants.</w:t>
      </w:r>
    </w:p>
    <w:p>
      <w:r>
        <w:rPr>
          <w:b/>
        </w:rPr>
        <w:t>E. 10</w:t>
      </w:r>
    </w:p>
    <w:p>
      <w:r>
        <w:t>Le recourant, qui obtient partiellement gain de cause, a droit à des dépens, qui seront fixés en l'espèce à 1'000 fr.</w:t>
      </w:r>
    </w:p>
    <w:p>
      <w:r>
        <w:t>A/246/2011 - 14/14 - PAR CES MOTIFS, LA CHAMBRE DES ASSURANCES SOCIALES : Statuant A la forme : 1. Déclare le recours recevable. Au fond : 2. L’admet partiellement. 3. Annule les décisions des 16 septembre et 15 décembre 2010 en tant qu’elles portent sur les prestations complémentaires à compter du 1er avril 2009. 4. Renvoie le dossier à l'intimé pour nouveau calcul, au sens des considérants. 5. Condamne l'intimé à verser au recourant, à titre de dépens, la somme de 1'000 fr.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