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ATAS/838/2010 vom 18. August 2010</w:t>
      </w:r>
    </w:p>
    <w:p>
      <w:r>
        <w:t>GE Cour de justice, 2010-08-18, FR</w:t>
      </w:r>
    </w:p>
    <w:p>
      <w:r>
        <w:rPr>
          <w:b/>
        </w:rPr>
        <w:t xml:space="preserve">Quelle: </w:t>
      </w:r>
      <w:r>
        <w:t>https://mcp.opencaselaw.ch/entscheid/ge_gerichte_ATAS_838_2010</w:t>
      </w:r>
    </w:p>
    <w:p>
      <w:r>
        <w:t>FR: GE_GERICHTE ATAS/838/2010 du 18 août 2010</w:t>
      </w:r>
    </w:p>
    <w:p>
      <w:r>
        <w:t>IT: GE_GERICHTE ATAS/838/2010 del 18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w:t>
      </w:r>
    </w:p>
    <w:p>
      <w:r>
        <w:t>A/785/2009 - 10/15 - 830.1) qui sont relatives à la loi fédérale sur l’assurance-invalidité du 19 juin 1959 (LAI ; RS 831.20). Sa compétence pour juger du cas d’espèce est ainsi établie.</w:t>
      </w:r>
    </w:p>
    <w:p>
      <w:r>
        <w:rPr>
          <w:b/>
        </w:rPr>
        <w:t>E. 2</w:t>
      </w:r>
    </w:p>
    <w:p>
      <w:r>
        <w:t>Interjeté dans les forme et délai prévu par la loi (art. 56 à 60 LPGA), le recours est recevable.</w:t>
      </w:r>
    </w:p>
    <w:p>
      <w:r>
        <w:rPr>
          <w:b/>
        </w:rPr>
        <w:t>E. 3</w:t>
      </w:r>
    </w:p>
    <w:p>
      <w:r>
        <w:t>La LPGA est entrée en vigueur le 1er janvier 2003, entraînant la modification de nombreuses dispositions légales dans le domaine des assurances sociales et notam- ment dans le droit de l’assurance-invalidité. Du point de temporel, le point de sa- voir quel droit s’applique doit être tranché à la lumière du principe selon lequel les règles applicables sont celles en vigueur au moment où les faits juridiquement dé- terminants se sont produits (ATF 130 V 229 consid. 1.1, 335 consid. 1.2 notam- ment). Il y a lieu de rappeler à cet égard que les définitions de l’incapacité de tra- vail, de l’incapacité de gain, de l’invalidité et de la méthode de comparaison des re- venus contenues dans la LPGA correspondent aux notions figurant précédemment dans la LAI telles que développées à ce jour par la jurisprudence (ATF 130 V 343). En l’espèce, la décision litigieuse datant du 10 février 2009, elle est postérieure à l’entrée en vigueur de la LPGA, ainsi qu’à l’entrée en vigueur, le 1er janvier 2004 et le 1er janvier 2008, des modifications de la LAI des 21 mars 2003 et 6 octobre 2006 (4ème et 5ème révisions). Cependant, les faits pertinents remontent jusqu’en 2001 (date de l’infarctus ischémique) et la demande a été déposée en 2007. Par consé- quent, du point de vue matériel, il y a lieu de faire application de la législation dans sa nouvelle teneur, à l’exclusion de la 5ème révision de la LAI. En revanche, en ce qui concerne les règles de procédure, et à défaut de normes tran- sitoires contraires, le nouveau droit s’applique sans réserve dès le jour de son entrée en vigueur (ATF 117 V 71 consid. 6b, 112 V 360 consid. 4a).</w:t>
      </w:r>
    </w:p>
    <w:p>
      <w:r>
        <w:rPr>
          <w:b/>
        </w:rPr>
        <w:t>E. 4</w:t>
      </w:r>
    </w:p>
    <w:p>
      <w:r>
        <w:t>Le litige porte sur le droit du recourant à des prestations de l’assurance-invalidité, singulièrement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 minution de l’ensemble ou d’une partie des possibilités de gain de l’assuré sur un marché du travail équilibré dans son domaine d’activité, si cette diminution résulte d’une atteinte à sa santé physique, mentale ou psychique et qu’elle persiste après les traitements et mesures de réadaptation exigibles (art. 7 al. 1er LPGA).</w:t>
      </w:r>
    </w:p>
    <w:p>
      <w:r>
        <w:rPr>
          <w:b/>
        </w:rPr>
        <w:t>E. 6</w:t>
      </w:r>
    </w:p>
    <w:p>
      <w:r>
        <w:t>Chez les assurés actifs, le degré d’invalidité doit être évalué sur la base d’une com- paraison des revenus. Pour évaluer le taux d’invalidité, le revenu que l’assuré aurait pu obtenir s’il n’était pas invalide est comparé avec celui qu’il pourrait obtenir en</w:t>
      </w:r>
    </w:p>
    <w:p>
      <w:r>
        <w:t>A/785/2009 - 11/15 - exerçant l’activité qui peut raisonnablement être exigée de lui après les traitements et mesures de réadaptation, sur un marché du travail équilibré (art. 16 LPGA et 28 al. 2 LAI). Pour procéder à la comparaison des revenus, il convient en principe de se placer au moment de la naissance du droit à la rente (ATF 130 V 343 consid. 4).</w:t>
      </w:r>
    </w:p>
    <w:p>
      <w:r>
        <w:rPr>
          <w:b/>
        </w:rPr>
        <w:t>E. 7</w:t>
      </w:r>
    </w:p>
    <w:p>
      <w:r>
        <w:t>Selon l’art. 28 al. 1 LAI dans sa teneur en vigueur jusqu’au 31 décembre 2003, l’assuré a droit à une rente entière s’il est invalide à 66 2/3 % au moins, à une demi- rente s’il est invalide à 50 % au moins, ou à un quart de rente s’il est invalide à 40 % au moins ; dans les cas pénibles, l’assuré peut, d’après l’art. 28 al. 1bis LAI, prétendre une demi-rente s’il est invalide à 40 % au moins. Selon l’art. 28 al. 1er LAI dans sa teneur en vigueur du 1er janvier 2004 au 31 dé- cembre 2007, l’assuré a droit à une rente entière s’il est invalide à 70 % au moins, à trois quarts de rente s’il est invalide à 60 % au moins, à une demi-rente s’il est inva- lide à 50 % au moins ou à un quart de rente s’il est invalide à 40 % au moins. Le nouvel art. 28 al. 2 LAI n’a pas changé ces taux déterminants.</w:t>
      </w:r>
    </w:p>
    <w:p>
      <w:r>
        <w:rPr>
          <w:b/>
        </w:rPr>
        <w:t>E. 8</w:t>
      </w:r>
    </w:p>
    <w:p>
      <w:r>
        <w:t>La plupart des éventualité assurées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(ATF 122 V 158 consid. 1b et les références ; SPIRA, La preuve en droit des assurances sociales, in : Mélan- ges en l’honneur de Henri-Robert SCHUPBACH, Bâle 2000, p. 268). Dans l’assurance-invalidité, l’instruction des faits d’ordre médical se fonde sur le rapport du médecin traitant destiné à l’OAI, les expertises de médecins indépen- dants de l’institution d’assurance, les examens pratiqués par les Centres d’observa- tion médicale de l’assurance-invalidité (ATF 123 V 175), les rapports d’examen et sur dossier des SMR, les expertises produites par une partie, ainsi que les expertises médicales ordonnées par le juge. Pour pouvoir calculer le degré d’invalidité, l’administration (ou le juge, s’il y a eu u recours) a besoin de documents qu’un médecin, éventuellement d’autres spécialis- tes, doivent lui fournir. La tâche du médecin consiste à porter un jugement sur l’état de santé et à indiquer dans quelle mesure et pour quelles activités l’assuré est inca- pable de travailler. En outre, les données médicales constituent un élément utile pour déterminer quels travaux on peut encore, raisonnablement, exiger de l’assuré (ATF 125 V 261 consid. 4, 115 V 134 consid. 2). Ces données médicales permet- tent généralement une appréciation objective du cas. Elles l’emportent sur les cons- tatations qui peuvent être faites à l’occasion d’un stage d’observation profession- nelle (qui sont sensées compléter et préciser les premières), lesquelles sont suscep-</w:t>
      </w:r>
    </w:p>
    <w:p>
      <w:r>
        <w:t>A/785/2009 - 12/15 - tibles d’être influencées par des éléments subjectifs liés au comportement de l’assuré pendant le stage (arrêt du TF non publié du 6 mai 2003, I 762/02).</w:t>
      </w:r>
    </w:p>
    <w:p>
      <w:r>
        <w:rPr>
          <w:b/>
        </w:rPr>
        <w:t>E. 9</w:t>
      </w:r>
    </w:p>
    <w:p>
      <w:r>
        <w:t>En ce qui concerne la valeur probante d’un rapport médical, ce qui est déterminant c’est que les points litigieux aient fait l’objet d’une étude circonstanciée, que le rap- 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Au demeurant, l’élément déterminant pour la valeur pro- 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Selon le principe de libre appréciation des preuves, pleinement valable en procé- dure judiciaire de recours dans le domaine des assurances sociales (cf. art. 61 let. c LPGA), le juge n’est pas lié par des règles formelles, mais doit examiner de ma- nière objective tous les moyens de preuve, quelle qu’en soit la provenance, puis dé- cider si les documents à disposition permettent de porter un jugement valable sur le droit litigieux. En cas de rapports médicaux contradictoires, le juge ne peut trancher l’affaire sans apprécier l’ensemble des preuves et sans indiquer les raisons pour les- quelles il se fonde sur une opinion médicale et non pas sur une autre.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 cipe selon lequel l’administration ou le juge devrait statuer, dans le doute, en faveur de l’assuré (ATF 126 V 322 consid. 5a).</w:t>
      </w:r>
    </w:p>
    <w:p>
      <w:r>
        <w:rPr>
          <w:b/>
        </w:rPr>
        <w:t>E. 11</w:t>
      </w:r>
    </w:p>
    <w:p>
      <w:r>
        <w:t>a) Dans le cas d’espèce, le recourant a été soumis à deux expertises médicales. b) L’une, de nature psychiatrique, a été effectuée par le docteur V___________ du SMR assisté d’un interprète. Elle n’est pas contestée par les parties. Il convient de donner raison à ces dernières dans la mesure où le rapport d’examen rendu par ce</w:t>
      </w:r>
    </w:p>
    <w:p>
      <w:r>
        <w:t>A/785/2009 - 13/15 - médecin remplit à l’évidence tous les critères pour que lui soit accordée pleine va- leur probante. Le contenu est détaillé, l’anamnèse complète, les plaintes du patient sont rapportées, les conclusions sont claires et cohérentes avec le contenu de l’exposé des motifs. c) L’autre expertise, de nature neurologique, a été confiée au professeur R___________. Le recourant fait grief à l’intimé – et ce dès le stade de l’audition – de s’être fondé sur une expertise qui n’aurait pas valeur probante au motif notam- ment de l’absence d’un interprète lors de la consultation. Le problème linguistique a été clairement évoqué par l’expert dans son rapport, à deux reprises. Il a tout d’abord mentionné que l’intéressé avait initialement prétendu ne parler qu’insuffisamment le français pour s’exprimer, mais qu’il s’était par la suite déten- du et que la conversation avait en fin de compte été possible moyennant quelques mots d’allemand. Ensuite, l’examen neuropsychologique s’était révélé difficile, principalement pour établir une anamnèse et récolter les plaintes, le patient répon- dant à côté en raison de sa méconnaissance de la langue française. Or, ces obstacles sont concrétisés de façon évidente dans le contenu du rapport, l’anamnèse du pa- tient n’étant en réalité composée, dans sa quasi-totalité, que d’éléments issus du dossier et non de propos tenus par l’expertisé. Par ailleurs, la consultation neurop- sychologique a été interrompue prématurément, notamment pour des problèmes de langue et s’est donc révélée incomplète. Les tests relatifs au langage sont qualifiés de limités eu égard à cette même problématique. En pareilles circonstances, on ne voit pas comment les résultats – partiels – auxquels aboutit cette consultation pour- raient être exploités, vu l’importance de la compréhension des consignes et des vo- cables utilisés pour en tirer des conclusions. Il sied donc de constater que l’absence d’un interprète était de nature à nuire tant à l’élaboration de l’anamnèse, à la récolte des plaintes qu’à la fiabilité des résultats obtenus. Certes, l’examen neuropsycholo- gique retient des scores insuffisants dans certains domaines, mais on ne saurait en tirer aucune conclusion en faveur de l’intéressé, pas plus qu’on ne saurait suivre les explications fournies par l’expert lui-même dans son complément fourni sur requête de la Juridiction de céans. En raison du seul motif du défaut d’assistance d’un in- terprète, le rapport d’expertise ne peut être une base fiable à la détermination de la capacité de travail. On ajoutera encore, avec le recourant, que l’avis de son neurologue met suffisam- ment en cause les conclusions de l’expert pour qu’il ne soit pas possible de retenir les conclusions de ce dernier telles quelles. En particulier, la négation d’une in- fluence de la diminution de la perfusion cérébrale sur la fatigabilité par le profes- seur O___________ ne repose en fin de compte que sur l’affirmation que cette hy- pothèse est inconnue de la doctrine ; or, le médecin se limite à citer un seul article sur la question dont il est au demeurant l’auteur. Et contrairement à ce que prétend l’intimé, l’avis du docteur R___________ ne peut être purement et simplement écarté du fait qu’il s’agit du médecin traitant de l’assuré. Tel n’est pas le cas, dans le sens donné par la jurisprudence à la notion de médecin traitant. En effet, par mé-</w:t>
      </w:r>
    </w:p>
    <w:p>
      <w:r>
        <w:t>A/785/2009 - 14/15 - decin traitant, il convient de comprendre médecin de famille, soit en règle générale le médecin généraliste. Dans le cas d’espèce, le docteur R___________ est un spé- cialiste (neurologue) en charge certes du suivi du recourant, mais limité au seul domaine de sa spécialisation. Cela étant, les remarques et explications fournies par ce praticien ne sont pas suffisamment circonstanciées pour qu’elles puissent com- bler les carences dont l’expertise O___________ est affectée. Ensuite, il sied de relever que ladite expertise ne comporte pas de motivation suffi- sante et les explications fournies ultérieurement ne consistent qu’en des affirma- tions péremptoires, nullement étayées de manière à ce qu’un non-initié puisse se convaincre de leur bien-fondé. Par contre, le fait que l’expert, qui est un spécialiste reconnu pour la pratique de son art, ait été condamné pénalement pour des infractions contre le patrimoine, fût-ce dans le cadre de son activité professionnelle, est irrelevant dans la présente cause, seules ses compétences médicales étant déterminantes. Il suit de ce qui précède qu’il n’est, en l’état, point possible au Tribunal de se pro- noncer en toute connaissance de cause sur une éventuelle incapacité de travail du recourant en relation avec ses atteintes neurologiques. Le dossier sera donc retourné à l’administration, aux fins de mettre en œuvre une nouvelle expertise neurologique avec examen neuropsychologique en présence d’un interprète. Le renvoi est justifié par le fait que la non-assistance d’un interprète viole les droits fondamentaux de l’intéressé (liberté de la langue, interdiction de la discrimination en raison de la lan- gue et droit d’être entendu ; cf. not. ATF 127 V 219 consid. 2b/bb).</w:t>
      </w:r>
    </w:p>
    <w:p>
      <w:r>
        <w:rPr>
          <w:b/>
        </w:rPr>
        <w:t>E. 12</w:t>
      </w:r>
    </w:p>
    <w:p>
      <w:r>
        <w:t>L’instruction de la cause diligentée non seulement par l’intimé, mais également par le Tribunal de céans a permis de mettre en évidence des troubles cardiovasculaires relativement importants. Or, mis à part les remarques y relatives du professeur O___________ qui n’est pas cardiologue, le dossier ne comporte aucune investiga- tion approfondie à ce sujet, singulièrement en regard des activités raisonnablement exigibles compte tenu desdites affections. L’OAI devra donc également compléter son dossier médical sur ce point en mettant en œuvre une expertise cardiologique. Par mesure d’économie, les deux volets de l’expertise pourront être traités simultanément, dans le cadre d’une expertise bi- disciplinaire.</w:t>
      </w:r>
    </w:p>
    <w:p>
      <w:r>
        <w:rPr>
          <w:b/>
        </w:rPr>
        <w:t>E. 13</w:t>
      </w:r>
    </w:p>
    <w:p>
      <w:r>
        <w:t>L’intimé, qui succombe, supportera les frais de la procédure fixés présentement à 1'000 fr. (art. 69 al. 1 bis LAI). Il versera en outre une indemnité de dépens au re- courant par 2'000 fr (art. 61 let. g LPA ; art 89H al. 3 LPA).</w:t>
      </w:r>
    </w:p>
    <w:p>
      <w:r>
        <w:t>A/785/2009 - 15/15 -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