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ATAS/836/2015 vom 4. November 2015</w:t>
      </w:r>
    </w:p>
    <w:p>
      <w:r>
        <w:t>GE Cour de justice, 2015-11-04, FR</w:t>
      </w:r>
    </w:p>
    <w:p>
      <w:r>
        <w:rPr>
          <w:b/>
        </w:rPr>
        <w:t xml:space="preserve">Quelle: </w:t>
      </w:r>
      <w:r>
        <w:t>https://mcp.opencaselaw.ch/entscheid/ge_gerichte_ATAS_836_2015</w:t>
      </w:r>
    </w:p>
    <w:p>
      <w:r>
        <w:t>FR: GE_GERICHTE ATAS/836/2015 du 4 novembre 2015</w:t>
      </w:r>
    </w:p>
    <w:p>
      <w:r>
        <w:t>IT: GE_GERICHTE ATAS/836/2015 del 4 novembre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A/612/2015 - 10/19 -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Le délai de recours est de 30 jours (art. 60 al. 1 LPGA et art. 62 al. 1 let. a de la loi sur la procédure administrative du 12 septembre 1985 [LPA-GE - E 5 10]). D'après l'art. 62 LPA, le délai de recours court dès le lendemain de la notification de la décision (al. 3). Lorsqu'une personne à qui une décision devait être notifiée ne l'a pas reçue, sans sa faute, le délai de recours court du jour où cette personne a eu connaissance de la décision (al. 5). b)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c) En l’espèce, la décision sur opposition du 16 janvier 2015 a été envoyée en pli recommandé au mandataire du recourant à son ancienne adresse et semble-t-il réexpédiée à son adresse actuelle le 26 janvier 2015. Le recourant allègue avoir reçu la décision sur opposition le 26 janvier 2015. Etant donné qu’il n’y a aucun justificatif dans le dossier d’un second envoi en pli recommandé, il convient de se fonder sur les déclarations du recourant. Partant, il faut admettre que la notification de la décision litigieuse a eu lieu le 26 janvier 2015 et que le recours formé le 24 février 2015 a été introduit le vingt- neuvième jour du délai de recours, soit en temps utile. Interjeté dans la forme et le délai prévus par la loi, le recours est recevable (art. 56 ss LPGA et 62 ss LPA).</w:t>
      </w:r>
    </w:p>
    <w:p>
      <w:r>
        <w:rPr>
          <w:b/>
        </w:rPr>
        <w:t>E. 4</w:t>
      </w:r>
    </w:p>
    <w:p>
      <w:r>
        <w:t>Le litige porte sur le lien de causalité entre l’accident du 27 novembre 2009 et les troubles des membres supérieurs, respectivement sur le droit du recourant à des prestations de la part de l’intimée au-delà du 31 mars 2011.</w:t>
      </w:r>
    </w:p>
    <w:p>
      <w:r>
        <w:rPr>
          <w:b/>
        </w:rPr>
        <w:t>E. 5</w:t>
      </w:r>
    </w:p>
    <w:p>
      <w:r>
        <w:t>Selon l'art. 6 al. 1 LAA, les prestations d'assurance sont allouées en cas d'accident professionnel, d'accident non professionnel et de maladie professionnelle. Par</w:t>
      </w:r>
    </w:p>
    <w:p>
      <w:r>
        <w:t>A/612/2015 - 11/19 -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A/612/2015 - 12/19 -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 e) Si un facteur extérieur n'a fait que déclencher les symptômes d'une lésion assimilée à un accident, le droit aux prestations prend fin lorsque le retour à un statu quo ante ou à un statu quo sine, c'est à dire le caractère désormais exclusivement dégénératif ou maladif de l'atteinte à la santé, est clairement établi; le degré de la vraisemblance prépondérante ne suffit pas, sans quoi l'on se trouverait à nouveau confronté, immédiatement après avoir admis l'existence d'une lésion assimilée à un accident, à la difficulté de distinguer entre l'origine accidentelle et maladive de cette lésion (cf. arrêts 8C_357_2007 du 31 janvier 2008 consid. 2, U 378/06 du 24 septembre 2007 consid. 2.2.2, U 60/03 du 28 juin 2004 consid. 3.3).</w:t>
      </w:r>
    </w:p>
    <w:p>
      <w:r>
        <w:rPr>
          <w:b/>
        </w:rPr>
        <w:t>E. 7</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w:t>
      </w:r>
    </w:p>
    <w:p>
      <w:r>
        <w:t>A/612/2015 - 13/19 -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w:t>
      </w:r>
    </w:p>
    <w:p>
      <w:r>
        <w:t>A/612/2015 - 14/19 - l'art. 44 LPGA ou une expertise judiciaire (ATF 135 V 465 consid. 4; arrêt du Tribunal fédéral 8C_923/2010 du 2 novembre 2011 consid. 5.2).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 244/05 du 3 mai 2006 consid. 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w:t>
      </w:r>
    </w:p>
    <w:p>
      <w:r>
        <w:t>A/612/2015 - 15/19 -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10</w:t>
      </w:r>
    </w:p>
    <w:p>
      <w:r>
        <w:t>Dans son arrêt du 25 avril 2013, le Tribunal fédéral a renvoyé la cause à l’intimée pour instruction médicale complémentaire au vu des appréciations médicales divergentes quant à la nature et à l’origine des troubles du recourant tout en relevant que les constatations faites par les spécialistes en radiologie ne paraissent guère contestables. Dans son arrêt du 7 mai 2012, la chambre de céans a écarté l’avis du Dr M______ au motif qu’il se base sur d’autres diagnostics que ceux retenus par les rapports d’imagerie des arthro-IRM des épaules. Elle a également dénié une valeur probante à l’appréciation du Dr L______ du 23 février 2011 dans la mesure où ce médecin ne motive pas ses conclusions quant à l’ancienneté de la lésion tendineuse très partielle de l’épaule droite. Dans son arrêt de renvoi, le Tribunal fédéral n’a pas contesté le jugement cantonal sur ces questions. Par conséquent, au vu des appréciations médicales divergentes quant à la nature et à l’origine des troubles, il incombait à l’intimée de mettre en œuvre une expertise médicale permettant de clarifier, d’une part, la nature des lésions subies par le recourant lors de l’accident du 27 novembre 2009, à savoir tendinopathie du sus-épineux avec ou sans rupture partielle dudit tendon, d’autre part, l’origine de ces lésions, à savoir post- traumatique ou dégénérative avec ou sans aggravation par l’accident et enfin de statuer sur la question du lien de causalité, respectivement sur celle de la disparition des causes accidentelles. Or, le mandat d’expertise ne pose nullement ces questions ce qui permet déjà de douter de l’utilité du rapport d’expertise du Dr N______.</w:t>
      </w:r>
    </w:p>
    <w:p>
      <w:r>
        <w:rPr>
          <w:b/>
        </w:rPr>
        <w:t>E. 11</w:t>
      </w:r>
    </w:p>
    <w:p>
      <w:r>
        <w:t>En l’espèce, dans son rapport d’expertise du 28 avril 2014, le Dr N______ diagnostique une lésion partielle non transfixiante du tendon du supra-épineux aux</w:t>
      </w:r>
    </w:p>
    <w:p>
      <w:r>
        <w:t>A/612/2015 - 16/19 - deux épaules et une légère instabilité dorso-radiale de la métacarpo-phalangienne du pouce gauche. Parmi les atteintes diagnostiquées, il considère que seule celle du pouce gauche est vraisemblablement en relation avec l’accident. A la question, « les atteintes à la santé actuellement diagnostiquées sont-elles encore, au moins au degré de la vraisemblance prépondérante, des séquelles de l’accident ? », l’expert répond que l’atteinte du pouce gauche est probablement en relation de causalité avec l’accident. Par contre, l’atteinte des épaules ne l’est pas. A la question, « les atteintes à la santé actuellement diagnostiquées ne sont-elles, au moins au degré de la vraisemblance prépondérante, plus à considérer du tout comme des séquelles de l’accident ? », il répond que l’atteinte des épaules n’est plus à considérer comme séquelle de l’accident. Force est de constater que dans son rapport d’expertise, le Dr N______ se borne à indiquer que l’atteinte aux épaules résulte d’un état maladif sans développer et démontrer pourquoi il arrive à cette conclusion. Or, sur la question cardinale et controversée de l’origine des ruptures bilatérales partielles du tendon supra- épineux, chez un travailleur de force âgé de 42 ans au moment de l’accident, il appartenait à l’expert d’expliquer pourquoi les lésions des épaules ne sont pas post- traumatiques, respectivement pourquoi les causes accidentelles ont complètement disparu. En outre, ses réponses sont contradictoires en tant qu’il ne retient aucun lien entre l’accident et les lésions bilatérales partielles non transfixiantes du tendon du supra-épineux et en même temps il considère que l’atteinte aux épaules n’est plus séquellaire de l’accident. Or, si les troubles des épaules sont sans rapport de causalité avec l’accident, ils ne peuvent pas ne plus être considérés comme des séquelles de l’accident ou, autrement dit, s’ils ne sont plus séquellaires de l’accident au moment de l’examen de l’expert, ils étaient à l’origine en rapport de causalité avec l’accident. Par conséquent, en tant qu’il ne comporte aucune réelle motivation quant à l’absence de lien de causalité entre l’accident et les lésions des épaules et qu’il contient des contradictions, le rapport du Dr N______ ne satisfait pas aux critères jurisprudentiels permettant de lui reconnaître une valeur probante. En outre, il est incomplet. En effet, pour permettre de statuer sur la question du lien de causalité, respectivement sur celle de la disparition des causes accidentelles en cas d’aggravation d’un état maladif préexistant, son rapport devait préciser à partir de quelle date les causes accidentelles ont complètement disparu, ce qu’il ne fait pas, étant relevé que, pour sa part, l’intimée ne lui a pas posé cette question.</w:t>
      </w:r>
    </w:p>
    <w:p>
      <w:r>
        <w:rPr>
          <w:b/>
        </w:rPr>
        <w:t>E. 12</w:t>
      </w:r>
    </w:p>
    <w:p>
      <w:r>
        <w:t>a) Selon la littérature médicale (Quand faut-il opérer une rupture de la coiffe des rotateurs ?, par A. DJAHANGIRI et A. FARRON in Revue Médicale Suisse 2009 p. 2551ss), la rupture de la coiffe des rotateurs peut être d’origine traumatique, dégénérative ou mixte. Les ruptures traumatiques font suite à des chutes sur le moignon de l’épaule ou des mouvements d’abduction contrariés. Les ruptures dégénératives surviennent chez des sujets plus âgés, et sont souvent associées à un rétrécissement de l’espace sous-acromial (acromion crochu ou avec ostéophyte).</w:t>
      </w:r>
    </w:p>
    <w:p>
      <w:r>
        <w:t>A/612/2015 - 17/19 - Des traumatismes parfois mineurs peuvent dans ces conditions provoquer des ruptures plus ou moins complètes de la coiffe (p. 2552). Il existe une corrélation significative entre l’âge et la survenue d’une atteinte de la coiffe des rotateurs. La prévalence de rupture chez les sujets asymptomatiques est de 20% entre 60 et 70 ans, et atteint même 50% chez les individus entre 70 et 80 ans. Il existe un délai moyen de dix ans entre l’âge d’apparition d’omalgie sur tendinopathie de la coiffe sans rupture (49 ans) et l’âge moyen d’apparition d’une rupture de la coiffe unilatérale (59 ans) et près de vingt ans pour une bilatérale (68 ans ; p. 2551 et 2552). b) D’après la jurisprudence (arrêt du Tribunal fédéral des assurances U 496/00 du 8 juin 2001 consid. 3b), l'expérience médicale démontre que la lésion de la coiffe des rotateurs est pratiquement toujours - sauf dans le cas de « rupture » - l'aboutissement d'un processus dégénératif qui, à la suite d'une occurrence fortuite, devient symptomatique (cf. aussi ATF 123 V 44 consid. 2a). Or, les lésions mentionnées à l'art. 9 al. 2 de l’ordonnance sur l'assurance-accidents du 20 décembre 1982 (OLAA - RS 832.202) dont font partie les ruptures de la coiffe des rotateurs (let. f), sont assimilées à un accident même si elles ont, pour l'essentiel, une origine vraisemblablement maladive ou dégénérative, pour autant qu'une cause extérieure ait, au moins, déclenché les symptômes dont souffre l'assuré (ATF 139 V 327 consid. 3.1 et les références).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 du Tribunal fédéral 8C_846/2014 du 23 avril 2015 consid. 3.2). c) Dans le cas du recourant, malgré le renvoi du dossier par le Tribunal fédéral pour instruction complémentaire et la mise en œuvre d’une expertise orthopédique, la chambre de céans ne dispose toujours pas des éléments médicaux lui permettant de vérifier d’une part, si les troubles de l’épaule sont d’origine post-traumatique, dégénérative ou mixte, respectivement s’ils ont été causés ou décompensés par l’accident du 27 novembre 2006, d’autre part, si le statu quo ante vel sine a été atteint et depuis quelle date, respectivement si le caractère exclusivement dégénératif des lésions est établi de façon manifeste et depuis quelle date.</w:t>
      </w:r>
    </w:p>
    <w:p>
      <w:r>
        <w:rPr>
          <w:b/>
        </w:rPr>
        <w:t>E. 13</w:t>
      </w:r>
    </w:p>
    <w:p>
      <w:r>
        <w:t>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A/612/2015 - 18/19 -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l'assureur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b) En l’espèce, force est de constater que la chambre de céans ne dispose pas des éléments médicaux nécessaires pour statuer sur le lien de causalité naturelle entre les troubles des épaules et l’accident du 27 novembre 2009, malgré l’arrêt de renvoi du Tribunal fédéral pour instruction complémentaire. Par conséquent, l’intimée n’a pas instruit correctement la situation médicale, de sorte que la cause doit lui être renvoyée pour mise en œuvre d’une nouvelle expertise médicale, à charge pour l’expert de diagnostiquer les troubles des membres supérieurs, de se prononcer notamment sur l’étiologie des lésions diagnostiquées, de déterminer si une cause extérieure a déclenché les symptômes dont souffre le recourant, de se prononcer sur l’existence d’un lien de causalité naturelle entre l’accident et les lésions diagnostiquées, de déterminer si le caractère exclusivement dégénératif des lésions est établi de façon manifeste et depuis quelle date, respectivement en cas d’absence d’origine dégénérative des lésions si le statu quo ante ou sine est atteint et depuis quelle date. En outre, il devra également statuer notamment sur la capacité de travail exigible du recourant dans une activité adaptée tenant compte de ses limitations fonctionnelles et sur l’existence d’une atteinte à l’intégrité physique, respectivement sur leur taux. La chambre de céans est d’avis qu’au vu de la problématique du cas d’espèce, l’expertise devra être confiée à un orthopédiste spécialisé dans les troubles de l’épaule. Après quoi, l’intimée devra réexaminer le droit aux prestations en rendant une nouvelle décision.</w:t>
      </w:r>
    </w:p>
    <w:p>
      <w:r>
        <w:rPr>
          <w:b/>
        </w:rPr>
        <w:t>E. 14</w:t>
      </w:r>
    </w:p>
    <w:p>
      <w:r>
        <w:t>Au vu de ce qui précède, le recours est admis et la décision sur opposition du</w:t>
      </w:r>
    </w:p>
    <w:p>
      <w:r>
        <w:rPr>
          <w:b/>
        </w:rPr>
        <w:t>E. 16</w:t>
      </w:r>
    </w:p>
    <w:p>
      <w:r>
        <w:t>janvier 2015 est annulée. Pour le surplus, la procédure est gratuite (art. 61 let. a LPGA).</w:t>
      </w:r>
    </w:p>
    <w:p>
      <w:r>
        <w:t>A/612/2015 - 19/19 -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