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ATAS/836/2014 vom 30. Juni 2014</w:t>
      </w:r>
    </w:p>
    <w:p>
      <w:r>
        <w:t>GE Cour de justice, 2014-06-30, FR</w:t>
      </w:r>
    </w:p>
    <w:p>
      <w:r>
        <w:rPr>
          <w:b/>
        </w:rPr>
        <w:t xml:space="preserve">Quelle: </w:t>
      </w:r>
      <w:r>
        <w:t>https://mcp.opencaselaw.ch/entscheid/ge_gerichte_ATAS_836_2014</w:t>
      </w:r>
    </w:p>
    <w:p>
      <w:r>
        <w:t>FR: GE_GERICHTE ATAS/836/2014 du 30 juin 2014</w:t>
      </w:r>
    </w:p>
    <w:p>
      <w:r>
        <w:t>IT: GE_GERICHTE ATAS/836/2014 del 30 giugno 2014</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RSG J</w:t>
      </w:r>
    </w:p>
    <w:p>
      <w:r>
        <w:rPr>
          <w:b/>
        </w:rPr>
        <w:t>E. 4</w:t>
      </w:r>
    </w:p>
    <w:p>
      <w:r>
        <w:t>S’agissant de savoir à compter de quand doit être prise en compte la modification de fortune du recourant suite au décès de son père, il convient de rappeler qu’en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 AVS/AI). A la suite d'une diminution de fortune, un nouveau calcul de la prestation complémentaire annuelle ne peut être effectué qu'une fois par an (art. 25 al. 3 OPC- AVS/AI).</w:t>
      </w:r>
    </w:p>
    <w:p>
      <w:r>
        <w:rPr>
          <w:b/>
        </w:rPr>
        <w:t>E. 5</w:t>
      </w:r>
    </w:p>
    <w:p>
      <w:r>
        <w:t>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w:t>
      </w:r>
    </w:p>
    <w:p>
      <w:r>
        <w:t>A/2499/2013 - 5/6 - ATFA non publié P 22/06 du 23 janvier 2007, consid. 5; ATFA non publié P 61/04 du 23 mars 2006, consid. 4; ATFA non publié P 54/02 du 17 septembre 2003, consid. 3.3). Il y a néanmoins lieu de rappeler que, jusqu’à la date du partage, l’héritier ne dispose que d’une expectative successorale et que la valeur de la succession n'est en principe ni déterminée, ni déterminable au moment du décès.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En d’autres termes, la jurisprudence permet de tenir compte de la part d’héritage dès la mort du de cujus dans le nouveau calcul des prestations complémentaires malgré son caractère encore fictif à cette date.</w:t>
      </w:r>
    </w:p>
    <w:p>
      <w:r>
        <w:rPr>
          <w:b/>
        </w:rPr>
        <w:t>E. 6</w:t>
      </w:r>
    </w:p>
    <w:p>
      <w:r>
        <w:t>C’est aussi la raison pour laquelle le Tribunal fédéral a relevé que le nouveau calcul des prestations complémentaires ne pouvait être entrepris à la date d’ouverture de la succession, dès lors que le montant de la fortune héritée ne peut être déterminé (arrêt non publié P 54/02 du 17 septembre 2003, consid. 3.3). Or, tel n’est pas encore le cas en l’espèce puisque le notaire a clairement indiqué que le montant de la part devant revenir au recourant ne pouvait être clairement et définitivement déterminée. Il en découle que le nouveau calcul opéré par l’intimé est prématuré, raison pour laquelle la décision en restitution doit être annulée, étant précisé que l’intimé pourra en rendre une nouvelle une fois que le montant devant revenir à son bénéficiaire sera clairement établi. Eu égard aux considérations qui précèdent, le recours est admis.</w:t>
      </w:r>
    </w:p>
    <w:p>
      <w:r>
        <w:t>A/2499/2013 - 6/6 - PAR CES MOTIFS, LA CHAMBRE DES ASSURANCES SOCIALES : Statuant A la forme : 1. Déclare le recours recevable. Au fond : 2. L’admet au sens des considérants. 3. Annule la décision du 26 juillet 2013.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