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ATAS/836/2012 vom 21. Juni 2012</w:t>
      </w:r>
    </w:p>
    <w:p>
      <w:r>
        <w:t>GE Cour de justice, 2012-06-21, FR</w:t>
      </w:r>
    </w:p>
    <w:p>
      <w:r>
        <w:rPr>
          <w:b/>
        </w:rPr>
        <w:t xml:space="preserve">Quelle: </w:t>
      </w:r>
      <w:r>
        <w:t>https://mcp.opencaselaw.ch/entscheid/ge_gerichte_ATAS_836_2012</w:t>
      </w:r>
    </w:p>
    <w:p>
      <w:r>
        <w:t>FR: GE_GERICHTE ATAS/836/2012 du 21 juin 2012</w:t>
      </w:r>
    </w:p>
    <w:p>
      <w:r>
        <w:t>IT: GE_GERICHTE ATAS/836/2012 del 21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2</w:t>
      </w:r>
    </w:p>
    <w:p>
      <w:r>
        <w:t>La LPGA, entrée en vigueur le 1er janvier 2003, est applicable en l’espèce tant aux prestations complémentaires fédérales (art. 1 al. 1 LPC) qu’aux prestations complémentaires cantonales (art. 1A let. b LPCC).</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b) S’agissant des prestations complémentaires cantonales, l’art. 43 LPCC ouvre la même voie de droit. c) En l’espèce, le présent recours a été interjeté dans la forme et le délai prévus par la loi, de sorte qu’il est recevable.</w:t>
      </w:r>
    </w:p>
    <w:p>
      <w:r>
        <w:rPr>
          <w:b/>
        </w:rPr>
        <w:t>E. 4</w:t>
      </w:r>
    </w:p>
    <w:p>
      <w:r>
        <w:t>Le litige porte uniquement sur la question de savoir si c’est à juste titre que l’intimé a considéré qu’il fallait prendre en compte un loyer proportionnel du 1er novembre 2008 au 31 octobre 2010, période durant laquelle il a considéré que la recourante avait partagé son logement avec son fils.</w:t>
      </w:r>
    </w:p>
    <w:p>
      <w:r>
        <w:t>A/166/2012 - 5/7 -</w:t>
      </w:r>
    </w:p>
    <w:p>
      <w:r>
        <w:rPr>
          <w:b/>
        </w:rPr>
        <w:t>E. 5</w:t>
      </w:r>
    </w:p>
    <w:p>
      <w:r>
        <w:t>L’art. 3a al. 1 aLPC (art. 9 al. 1 LPC) dispose que le montant de la prestation complémentaire annuelle correspond à la part des dépenses reconnues qui excède les revenus déterminants. Les revenus déterminants comprennent les rentes, pensions et autres prestations périodiques, y compris les rentes de l’AVS et de l’AI (art. 3c al. 1 let d aLPC; art. 11 al. 1 let. d LPC). Quant aux dépenses reconnues, elles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3b al. 1 aLPC et art. 2 let. a de l’ordonnance 01 concernant les adaptations dans le régime des prestations complémentaires à l’AVS/AI en vigueur jusqu’au 31 décembre 2007 - RS 831.307 ; art. 10 al. al. 1 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 Cour de céans constate que les dires de la recourante sont corroborés non seulement par son fils mais également par la compagne de celui-ci, par son assistante sociale et le fait que la gardienne d’immeuble de la recourante n’ait plus croisé l’intéressé depuis plusieurs années. Certes, d’après le registre de l’OCP, le fils de la recourante était domicilié chez sa mère du 1er octobre 2008 au 27 novembre 2010. L’inscription à l’OCP ne constitue cependant qu’un indice parmi d’autres. Or, en l’occurrence, cet indice a été infirmé, ainsi qu’on l’a vu, par plusieurs autres.</w:t>
      </w:r>
    </w:p>
    <w:p>
      <w:r>
        <w:t>A/166/2012 - 6/7 - La Cour de céans considère que les enquêtes ont permis d’établir au degré de vraisemblance prépondérante requis que le fils de la recourante n’a pas partagé le domicile de cette dernière durant la période litigieuse, de sorte que le loyer de l’appartement de la recourante n’avait pas à être réparti entre cette dernière et son fils dans le calcul des prestations. En conséquence, le recours est admis et la cause renvoyée à l’intimé à charge pour ce dernier de procéder à de nouveaux calculs concernant la période du 1er novembre 2008 au 31 octobre 2010 et de rendre une nouvelle décision.</w:t>
      </w:r>
    </w:p>
    <w:p>
      <w:r>
        <w:t>A/166/2012 - 7/7 - PAR CES MOTIFS, LA CHAMBRE DES ASSURANCES SOCIALES : Statuant A la forme : 1. Déclare le recours recevable. Au fond : 2. L’admet au sens des considérants. 3. Renvoie la cause à l’intimé à charge pour ce dernier de reprendre ses calculs pour la période du 1er novembre 2008 au 31 octobre 2010 conformément aux considérants et de rendre une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