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ATAS/836/2009 vom 6. Oktober 2008</w:t>
      </w:r>
    </w:p>
    <w:p>
      <w:r>
        <w:t>GE Cour de justice, 2008-10-06, FR</w:t>
      </w:r>
    </w:p>
    <w:p>
      <w:r>
        <w:rPr>
          <w:b/>
        </w:rPr>
        <w:t xml:space="preserve">Quelle: </w:t>
      </w:r>
      <w:r>
        <w:t>https://mcp.opencaselaw.ch/entscheid/ge_gerichte_ATAS_836_2009</w:t>
      </w:r>
    </w:p>
    <w:p>
      <w:r>
        <w:t>FR: GE_GERICHTE ATAS/836/2009 du 6 octobre 2008</w:t>
      </w:r>
    </w:p>
    <w:p>
      <w:r>
        <w:t>IT: GE_GERICHTE ATAS/836/2009 del 6 ottobre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w:t>
      </w:r>
    </w:p>
    <w:p>
      <w:r>
        <w:t>A/794/2009 3/4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Selon la loi fédérale sur le droit international privé (ci-après LDIP) du 18 mars 1987, les décisions étrangères de divorce sont reconnues en Suisse lorsqu'elles ont été rendues dans l'état du domicile, ou de la résidence habituelle, ou dans l'État national de l'un des époux ou si elles sont reconnues dans un de ses états, si l'autorité judiciaire qui a rendu la décision était compétente, si la décision n'est plus susceptible de recours ordinaires, et si la décision étrangère n'est pas manifestement incompatible avec l'ordre public Suisse (art. 25, 27 et 65 LDIP). En outre, lorsqu'une décision étrangère est invoquée à titre préalable, l'autorité saisie peut statuer elle-même sur la reconnaissance (art. 29 a. 3 LDIP).</w:t>
      </w:r>
    </w:p>
    <w:p>
      <w:r>
        <w:rPr>
          <w:b/>
        </w:rPr>
        <w:t>E. 4</w:t>
      </w:r>
    </w:p>
    <w:p>
      <w:r>
        <w:t>En l’espèce, le juge français a ordonné le partage selon la convention conclue par les parties, qui prévoit le versement d'une somme de 11 133 fr. de la CAISSE DE RETRAITE DU PERSONNEL DE PATEK PHILIPPE SA, p.a LPP Gestion SA en faveur de la demanderesse, ce qui correspond presque exactement à la moitié de l'avoir du demandeur au moment du divorce (23 588 fr.: 2 = 11 794). Le juge français a dès lors appliqué la règle ordinaire de partage. Selon les documents produits, le jugement de divorce est devenu exécutoire en date du 6 octobre 2008, les parties ayant renoncé à la procédure d'appel. L'institution de prévoyance concernée a par ailleurs confirmé le caractère réalisable du partage. Par conséquent, il y a lieu de reconnaître le jugement de divorce français, et d'exécuter le partage ordonné par le juge français.</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A/794/2009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