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ATAS/835/2017 vom 29. September 2017</w:t>
      </w:r>
    </w:p>
    <w:p>
      <w:r>
        <w:t>GE Cour de justice, 2017-09-29, FR</w:t>
      </w:r>
    </w:p>
    <w:p>
      <w:r>
        <w:rPr>
          <w:b/>
        </w:rPr>
        <w:t xml:space="preserve">Quelle: </w:t>
      </w:r>
      <w:r>
        <w:t>https://mcp.opencaselaw.ch/entscheid/ge_gerichte_ATAS_835_2017</w:t>
      </w:r>
    </w:p>
    <w:p>
      <w:r>
        <w:t>FR: GE_GERICHTE ATAS/835/2017 du 29 septembre 2017</w:t>
      </w:r>
    </w:p>
    <w:p>
      <w:r>
        <w:t>IT: GE_GERICHTE ATAS/835/2017 del 29 settembre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sa décision de mettre fin dès le 1er mai 2016 aux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jeudi 13 octobre 2016 contre une décision sur opposition du mardi 13 septembre 2016, reçue le lendemain, le recours a été interjeté en temps utile (art. 60 al. 1 LPGA). Il satisfait aux exigences de forme et de contenu prévues par l’art. 61 let. b LPGA (cf. aussi art. 89B LPA). L’assurée a qualité pour recourir (art. 59 LPGA). c. Le recours sera donc déclaré recevable.</w:t>
      </w:r>
    </w:p>
    <w:p>
      <w:r>
        <w:rPr>
          <w:b/>
        </w:rPr>
        <w:t>E. 2</w:t>
      </w:r>
    </w:p>
    <w:p>
      <w:r>
        <w:t>Le litige porte sur la question de savoir quelles lésions la recourante a subies du fait de la chute qu’elle a faite le 27 octobre 2015 lors d’une séance de sport, lesquelles ont nécessité des traitements (le cas échéant lesquels) et ont entraîné une incapacité de travail (le cas échéant à quel taux), et jusqu’à quelle date (en particulier au-delà du 30 avril 2016). Il doit être tranché au regard de la LAA et, dans la mesure de son applicabilité (art. 1 al. 1 LAA), de la LPGA. Comme pour les questions de procédure, les dispositions matérielles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À teneur de la LAA, le droit à des prestations découlant d'un accident assuré – que ladite chute constitue, de façon en l’espèce non contestée – suppose un lien de</w:t>
      </w:r>
    </w:p>
    <w:p>
      <w:r>
        <w:t>A/3465/2016 - 11/19 - causalité naturelle et adéquate entre l'événement dommageable de caractère accidentel et l'atteinte à la santé. b. Il y a lien de causalité naturelle lorsqu'il y a lieu d'admettre que, sans l’événement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applicable généralement à l'appréciation des preuves dans l'assurance sociale (ATF 130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3 aOLAA),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La liste exhaustive desdites lésions assimilées à un accident est la suivante : fractures, déboîtements d’articulations, déchirures du ménisque, déchirures de muscles, élongations de muscles, déchirures de tendons, lésions des ligaments, lésions du tympan.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Il y a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w:t>
      </w:r>
    </w:p>
    <w:p>
      <w:r>
        <w:t>A/3465/2016 - 12/19 -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L’obligation de prester de l’assureur cesse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 doit prendre à sa charge le traitement de l'état maladif préexistant, dans la mesure où il a été causé ou aggravé par l'accident (arrêts du Tribunal fédéral 8C_1003/2010 du 22 novembre 2011 consid. 1.2 ; 8C_552/2007 du 19 février 2008 consid. 2). En principe, il y a lieu d’examiner si l’atteinte à la santé est encore imputable à l’accident ou ne l’est plus (statu quo ante ou statu quo sine) selon le critère de la vraisemblance prépondérante, sous réserve des lésions assimilées à un accident dès lors qu’elles le restent aussi longtemps que leur origine maladive ou dégénérative, à l'exclusion d'une origine accidentelle, n'est pas clairement établie (ATAS/725/2015 du 29 septembre 2015 consid. 7). La simple possibilité que l'accident n'ait plus d'effet causal ne suffit pas à justifier la cessation du versement des prestations (ATF 126 V 360 consid. 5b ; 125 V 195 consid. 2 ; RAMA 2000 n. U 363 p. 46). La preuve de la disparition du lien de causalité naturelle ne doit cependant pas être apportée par la preuve de facteurs étrangers à l'accident ; il est encore moins question d'exiger de l'assureur-accident la preuve négative qu'aucune atteinte à la santé ne subsiste ou que la personne assurée est dorénavant en parfaite santé (arrêt du Tribunal fédéral 8C_463/2009 du 23 novembre 2009 consid. 3). 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w:t>
      </w:r>
    </w:p>
    <w:p>
      <w:r>
        <w:rPr>
          <w:b/>
        </w:rPr>
        <w:t>E. 4</w:t>
      </w:r>
    </w:p>
    <w:p>
      <w:r>
        <w:t>a. Dans la mesure où l’établissement des faits pertinents doit s’appuyer sur des renseignements d'ordre médical, il sied de préciser que ceux que l’administration ou le juge peuvent à cet effet tenir pour probants doivent figurer dans des rapports médicaux qui – peu importe en principe leur origine et/ou désignation – comportent une étude fouillée portant sur les points pertinents, se fondent sur des examens complets, prennent en considération les plaintes exprimées, ont été établi en pleine</w:t>
      </w:r>
    </w:p>
    <w:p>
      <w:r>
        <w:t>A/3465/2016 - 13/19 - connaissance du dossier (y compris l’anamnèse), décrivent le cas échéant clairement les interférences médicales, et contiennent de conclusions bien motivées (ATF 134 V 231 consid. 5.1 ; 133 V 450 consid. 11.1.3 ;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b/cc.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En ce qui concerne les rapports établis par les médecins traitants, le juge peut et doit tenir compte du fait que, selon l'expérience, le médecin traitant peut être enclin, en cas de doute, à prendre parti pour son patient en raison de la relation de</w:t>
      </w:r>
    </w:p>
    <w:p>
      <w:r>
        <w:t>A/3465/2016 - 14/19 - confiance s’étant nouée entre eux (ATF 125 V 351 consid. 3b/cc ; arrêt du Tribunal fédéral des assurances I 244/05 du 3 mai 2006 consid. 2.1).</w:t>
      </w:r>
    </w:p>
    <w:p>
      <w:r>
        <w:rPr>
          <w:b/>
        </w:rPr>
        <w:t>E. 5</w:t>
      </w:r>
    </w:p>
    <w:p>
      <w:r>
        <w:t>a. En l’espèce, trois diagnostics ont été posés successivement, qui n’apparaissent en eux-mêmes guère contestés, sous l’importante réserve de leur origine traumatique ou dégénérative, question qui relève cependant de l’appréciation du lien de causalité. Chronologiquement, c’est une entorse acromio-claviculaire (avec une suspicion d’atteinte de la coiffe des rotateurs, écartée par la suite) qui a été diagnostiquée, le 28 octobre 2015, dès le lendemain de la chute de la recourante sur son épaule gauche lors d’un cours d’auto-défense. Une arthro-IRM de ladite épaule du 25 novembre 2015 (donc à un mois de l’accident) a mis en évidence une lésion du labrun dans sa partie antérosupérieure. D’après une IRM de la colonne cervicale, effectuée le 6 janvier 2016 consécutivement à des paresthésies au niveau de la main gauche apparues une semaine plus tôt avec des douleurs débutant dans la nuque, la recourante présentait des cervicobrachialgies avec des douleurs cervicales gagnant l’omoplate et le membre supérieur gauche. b. Selon le rapport d’expertise du Dr R______, sur lequel l’intimé fonde sa position, l’entorse acromio-claviculaire gauche (de stade I) était en rapport de causalité naturelle avec l’accident précité, mais elle avait été guérie rapidement, ne laissant plus même de trace au bout d’un mois sur l’arthro-IRM du 25 novembre 2015. Elle n’entrait plus en considération pour justifier l’octroi de prestations de l’intimé en tout état après le 30 avril 2016. Pour ledit expert, les lésions labrales, de type SLAP II, de l’épaule gauche étaient possiblement mais pas probablement en lien de causalité naturelle avec ledit accident. Comme l’envisageait aussi le Dr T______, elles paraissaient plutôt d’origine dégénérative. La recourante avait pu reprendre le travail le 1er avril 2016. Une causalité naturelle avec l’accident n’entrait en tout état plus en ligne de compte à fin avril 2016. Le troisième diagnostic posé par l’expert R______ tenait en une unco-discarthrose étagée de C4 à C7 avec hernie discale C5-C6 et C6-C7 et une neuropathie sensitive C6 +/- C7 gauche. Pour ledit expert, ces troubles étaient d’origine dégénérative ; ils n’étaient pas dus à l’accident, ayant tout au plus pu avoir été déclenchés symptomatiquement par lui, à titre d’aggravation temporaire d’un état dégénératif antérieur, avec un statu quo sine au 1er mai 2016. c. La recourante s’appuie sur les rapports médicaux du Dr G______ des 3 juin et 8 août 2016 et du Dr S______ du 9 août 2016 pour contester principalement que les lésions labrales ne seraient pas très vraisemblablement en rapport de causalité naturelle avec l’accident considéré. Il sied de préciser que si le Dr R______ est intervenu comme expert sur mandat de l’assureur-accident, le Dr S______ ne saurait se voir dénier des compétences pour le moins équivalentes aux siennes pour le cas de la recourante ; non seulement tous deux sont au bénéfice de la même spécialisation médicale en chirurgie</w:t>
      </w:r>
    </w:p>
    <w:p>
      <w:r>
        <w:t>A/3465/2016 - 15/19 - orthopédique et traumatologie de l’appareil locomoteur (comme d’aileurs le Dr G______), mais encore ce n’est pas parce qu’il a opéré la recourante, comme adjoint dudit service spécialisé des HUG, qu’il a acquis une qualité de médecin traitant, dont l’avis doit en règle générale être considéré avec réserve en raison de l’étroit lien de confiance liant un médecin traitant à ses patients. Il faut au contraire souligner que le Dr S______ a ausculté la recourante et examiné son dossier une semaine après le Dr R______, et qu’il n’apparaît pas que ce dernier a eu connaissance, lors de l’établissement de son rapport d’expertise daté du 2 mai 2016 ni même ultérieurement, du rapport du Dr S______ du 21 avril 2016 au Dr G______, ni surtout (ce qui est évidemment logique) du rapport du 9 août 2016 par lequel le Dr S______ – au courant de l’avis du Dr R______ et après avoir procédé, le 11 mai 2016, à une arthroscopie de l’épaule gauche de la recourante en lien avec les lésions de type SLAP de cette dernière – a attesté que ce « type de lésion (était) typiquement consécutive à une chute sur le membre supérieur » (avec une référence à de la littérature scientifique) et a ajouté ne pas avoir dans le cas de la recourante « d’argument pour envisager une autre étiologie ». Son avis peut d’autant moins être écarté au profit d’un poids de principe plus grand d’un rapport d’expertise que, précisément, le Dr S______ a vu de ses propres yeux, lors de ladite opération, l’état de l’épaule de la recourante et que son compte-rendu opératoire, en particulier le bilan intra-articulaire que celui-ci contient, décrit une lésion de type SLAP 2, un cartilage intègre, une coiffe intègre, et ne fait pas état de signes dégénératifs. Il n’apparaît en outre pas exclu (a priori au contraire) que la ténodèse du long chef du biceps qu’il a effectuée par voie arthroscopique le 11 mai 2016 s’est avérée nécessaire pour remédier à la lésion labrale de type SLAP dont la recourante, quoique ayant pu reprendre le travail le 1er avril 2016, souffrait encore, et ce à la suite, d’un point de vue causal (et non simplement chronologique), de l’accident considéré, de façon non exclue par les Dr R______ et T______ et estimée très vraisemblable par les Drs S______ et G______. En l’état de la procédure, la chambre de céans ne peut que s’estimer insuffisamment renseignée pour pouvoir statuer sur les points litigieux pertinents touchant à tout le moins les lésions labrales de type SLAP. Il s’impose d’ordonner une expertise judiciaire, à confier à un spécialiste en chirurgie orthopédique et traumatologie de l’appareil locomoteur (spécialiste de l’épaule). d. L’expertise judiciaire à effecteur doit aussi être l’occasion d’examiner la question moins discutée mais néanmoins litigieuse de savoir quel rôle et le cas échéant pendant combien de temps l’accident du 27 octobre 2015 a joué s’agissant de l’unco-discarthrose avec hernie discale et neuropathie sensitive ayant été diagnostiquée par l’IRM de la colonne cervicale du 6 janvier 2016. Compte tenu de l’atteinte neuropathique constatée au niveau cervical, il se justifie que l’expertise soit confiée conjointement à un spécialiste en neuro-chirurgie. e. Les experts pressentis pour effectuer ladite expertise sont respectivement le docteur V______, spécialiste en chirurgie orthopédique et traumatologie de</w:t>
      </w:r>
    </w:p>
    <w:p>
      <w:r>
        <w:t>A/3465/2016 - 16/19 - l’appareil locomoteur, et le docteur W______, spécialiste en neuro-chirurgie, à charge pour les deux experts – sans préjudice d’un accent prépondérant mis par l’un sur telle(s) atteinte(s) et par l’autre sur telle(s) autre(s) – de faire une appréciation consensuelle du cas, considéré dans ses composantes et sa globalité et de se prononcer sur les éventuelles interférences induites par ses composantes.</w:t>
      </w:r>
    </w:p>
    <w:p>
      <w:r>
        <w:rPr>
          <w:b/>
        </w:rPr>
        <w:t>E. 5.1</w:t>
      </w:r>
    </w:p>
    <w:p>
      <w:r>
        <w:t>Anamnèse détaillée.</w:t>
      </w:r>
    </w:p>
    <w:p>
      <w:r>
        <w:rPr>
          <w:b/>
        </w:rPr>
        <w:t>E. 5.2</w:t>
      </w:r>
    </w:p>
    <w:p>
      <w:r>
        <w:t>Plaintes et données subjectives de la personne.</w:t>
      </w:r>
    </w:p>
    <w:p>
      <w:r>
        <w:rPr>
          <w:b/>
        </w:rPr>
        <w:t>E. 5.3</w:t>
      </w:r>
    </w:p>
    <w:p>
      <w:r>
        <w:t>Status clinique et constatations objectives.</w:t>
      </w:r>
    </w:p>
    <w:p>
      <w:r>
        <w:rPr>
          <w:b/>
        </w:rPr>
        <w:t>E. 5.4</w:t>
      </w:r>
    </w:p>
    <w:p>
      <w:r>
        <w:t>Diagnostics (selon la classification internationale) ?</w:t>
      </w:r>
    </w:p>
    <w:p>
      <w:r>
        <w:rPr>
          <w:b/>
        </w:rPr>
        <w:t>E. 5.4.1</w:t>
      </w:r>
    </w:p>
    <w:p>
      <w:r>
        <w:t>quels sont les diagnostics ?</w:t>
      </w:r>
    </w:p>
    <w:p>
      <w:r>
        <w:rPr>
          <w:b/>
        </w:rPr>
        <w:t>E. 5.4.2</w:t>
      </w:r>
    </w:p>
    <w:p>
      <w:r>
        <w:t>les diagnostics retenus par l’expert R______ sont-ils confirmés ?</w:t>
      </w:r>
    </w:p>
    <w:p>
      <w:r>
        <w:rPr>
          <w:b/>
        </w:rPr>
        <w:t>E. 5.4.3</w:t>
      </w:r>
    </w:p>
    <w:p>
      <w:r>
        <w:t>une des lésions diagnostiquées figure-t-elle sur la liste exhaustive des lésions assimilées à un accident au sens de l’art. 9 al. 2 aOLAA (art. 6 al. 2 LAA depuis le 1er janvier 2016) ? dans l’affirmative, laquelle ?</w:t>
      </w:r>
    </w:p>
    <w:p>
      <w:r>
        <w:t>A/3465/2016 - 18/19 -</w:t>
      </w:r>
    </w:p>
    <w:p>
      <w:r>
        <w:rPr>
          <w:b/>
        </w:rPr>
        <w:t>E. 5.4.4</w:t>
      </w:r>
    </w:p>
    <w:p>
      <w:r>
        <w:t>quelles lésions diagnostiquées ont-elles été causées (en termes de causalité naturelle) par l’accident du 27 octobre 2015 ?</w:t>
      </w:r>
    </w:p>
    <w:p>
      <w:r>
        <w:rPr>
          <w:b/>
        </w:rPr>
        <w:t>E. 5.4.5</w:t>
      </w:r>
    </w:p>
    <w:p>
      <w:r>
        <w:t>en cas de lésion assimilée à un accident au sens de l’art. 9 al. 2 aOLAA (art. 6 al. 2 LAA depuis le 1er janvier 2016), ladite lésion est-elle manifestement imputable à une maladie ou à un phénomène dégénératif ?</w:t>
      </w:r>
    </w:p>
    <w:p>
      <w:r>
        <w:rPr>
          <w:b/>
        </w:rPr>
        <w:t>E. 5.5</w:t>
      </w:r>
    </w:p>
    <w:p>
      <w:r>
        <w:t>Depuis quelle(s) date(s) les diagnostics pertinents sont-ils présents chez la recourante et comment ont-ils évolué ?</w:t>
      </w:r>
    </w:p>
    <w:p>
      <w:r>
        <w:rPr>
          <w:b/>
        </w:rPr>
        <w:t>E. 5.6</w:t>
      </w:r>
    </w:p>
    <w:p>
      <w:r>
        <w:t>Quel(s) traitement(s) les lésions imputables audit accident ont-elles nécessité(s) ? En particulier, l’opération du 11 mai 2016 représente-t-elle le traitement d’une lésion provoquée par l’accident du 27 octobre 2015 ? Les traitements considérés sont-ils terminés ? Si non, quels traitements (économiques et adéquats) sont-ils encore nécessaires (en précisant quelle amélioration on peut en attendre, en termes d’état de santé et de capacité de travail) ?</w:t>
      </w:r>
    </w:p>
    <w:p>
      <w:r>
        <w:rPr>
          <w:b/>
        </w:rPr>
        <w:t>E. 5.7</w:t>
      </w:r>
    </w:p>
    <w:p>
      <w:r>
        <w:t>À partir de quelle(s) date(s) – pour chacun des diagnostics pertinents – peut- on considérer que des facteurs étrangers audit accident (maladifs, dégénératifs, accidentels, autres) sont le cas échéant devenus les seules causes influentes sur l’état de santé de la recourante (« statu quo sine » ou « statu quo ante ») ?</w:t>
      </w:r>
    </w:p>
    <w:p>
      <w:r>
        <w:rPr>
          <w:b/>
        </w:rPr>
        <w:t>E. 5.8</w:t>
      </w:r>
    </w:p>
    <w:p>
      <w:r>
        <w:t>Quels effets les lésions imputables à l’accident (considérées pour elles- mêmes et interférant le cas échéant entre elles) ont-elles eus sur la capacité de travail de la recourante ? répondre en termes de taux d’activité (pourcentage), de rendement et de limitations fonctionnelles, et préciser durant quelle(s) période(s).</w:t>
      </w:r>
    </w:p>
    <w:p>
      <w:r>
        <w:rPr>
          <w:b/>
        </w:rPr>
        <w:t>E. 5.9</w:t>
      </w:r>
    </w:p>
    <w:p>
      <w:r>
        <w:t>Formuler un pronostic global.</w:t>
      </w:r>
    </w:p>
    <w:p>
      <w:r>
        <w:rPr>
          <w:b/>
        </w:rPr>
        <w:t>E. 5.10</w:t>
      </w:r>
    </w:p>
    <w:p>
      <w:r>
        <w:t>Expliquer et motiver les éventuelles divergences avec les rapports des médecins s’étant prononcés (en particulier de l’expert R______ ainsi que des Drs T______, S______ et G______).</w:t>
      </w:r>
    </w:p>
    <w:p>
      <w:r>
        <w:rPr>
          <w:b/>
        </w:rPr>
        <w:t>E. 5.11</w:t>
      </w:r>
    </w:p>
    <w:p>
      <w:r>
        <w:t>Formuler toute autre remarque utile et proposition.</w:t>
      </w:r>
    </w:p>
    <w:p>
      <w:r>
        <w:t>A/3465/2016 - 19/19 -</w:t>
      </w:r>
    </w:p>
    <w:p>
      <w:r>
        <w:rPr>
          <w:b/>
        </w:rPr>
        <w:t>E. 6</w:t>
      </w:r>
    </w:p>
    <w:p>
      <w:r>
        <w:t>Invite les experts à déposer à leur meilleure convenance un rapport en trois exemplaires à la chambre de céans.</w:t>
      </w:r>
    </w:p>
    <w:p>
      <w:r>
        <w:rPr>
          <w:b/>
        </w:rPr>
        <w:t>E. 7</w:t>
      </w:r>
    </w:p>
    <w:p>
      <w:r>
        <w:t>Réserve le fond.</w:t>
      </w:r>
    </w:p>
    <w:p>
      <w:r>
        <w:t>La greffière</w:t>
      </w:r>
    </w:p>
    <w:p>
      <w:r>
        <w:t>Sylvie SCHNEWLIN</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