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ATAS/834/2020 vom 6. Oktober 2020</w:t>
      </w:r>
    </w:p>
    <w:p>
      <w:r>
        <w:t>GE Cour de justice, 2020-10-06, FR</w:t>
      </w:r>
    </w:p>
    <w:p>
      <w:r>
        <w:rPr>
          <w:b/>
        </w:rPr>
        <w:t xml:space="preserve">Quelle: </w:t>
      </w:r>
      <w:r>
        <w:t>https://mcp.opencaselaw.ch/entscheid/ge_gerichte_ATAS_834_2020</w:t>
      </w:r>
    </w:p>
    <w:p>
      <w:r>
        <w:t>FR: GE_GERICHTE ATAS/834/2020 du 6 octobre 2020</w:t>
      </w:r>
    </w:p>
    <w:p>
      <w:r>
        <w:t>IT: GE_GERICHTE ATAS/834/2020 del 6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w:t>
      </w:r>
    </w:p>
    <w:p>
      <w:r>
        <w:rPr>
          <w:b/>
        </w:rPr>
        <w:t>E. 3</w:t>
      </w:r>
    </w:p>
    <w:p>
      <w:r>
        <w:t>Interjeté dans les forme et délai prévus par la loi, le recours est recevable (art. 56 et 60 LPGA ;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la décision attaquée accorde à l'assuré une rente entière d'invalidité limitée dans le temps, du 1er août 2017 au 31 janvier 2019. En outre, elle lui refuse l'octroi de mesures d'ordre professionnel. De son côté, le recourant conclut, en dernier lieu, à ce que cette rente lui soit accordée au-delà du mois de janvier 2019. À ce stade, il ne conteste plus le calcul</w:t>
      </w:r>
    </w:p>
    <w:p>
      <w:r>
        <w:t>A/4370/2019 - 15/23 - de sa rente. Le litige ne porte donc plus que sur le maintien de la rente entière qui lui a été accordée.</w:t>
      </w:r>
    </w:p>
    <w:p>
      <w:r>
        <w:rPr>
          <w:b/>
        </w:rPr>
        <w:t>E. 5</w:t>
      </w:r>
    </w:p>
    <w:p>
      <w:r>
        <w:t>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L’art. 17 al. 1er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propres à influencer le degré d’invalidité, et donc le droit à la rente, peut motiver une révision selon l’article 17 LPGA. Aux termes de l’art. 88a al. 1 du règlement sur l’assurance-invalidité du 17 janvier 1961 (RAI – RS 831.201), si la capacité de gain s’améliore, il y a lieu de considérer que ce changement supprime, le cas échéant, tout ou partie de son droit</w:t>
      </w:r>
    </w:p>
    <w:p>
      <w:r>
        <w:t>A/4370/2019 - 16/23 -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Si un cas d'assurance est jugé sans rapport d'un médecin externe à l'assurance, l'appréciation des preuves doit être soumise à des exigences strictes (ATF 122 V 157 consid. 1d ; arrêt du Tribunal fédéral 8C_796/2016 du 14 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w:t>
      </w:r>
    </w:p>
    <w:p>
      <w:r>
        <w:t>A/4370/2019 - 17/23 -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arrêts du Tribunal fédéral 9C_301/2013 du 4 septembre 2013 consid. 3 ; 8C_251/2012 du 27 août 2012 consid. 3.4).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 arrêt du Tribunal fédéral 8C_796/2016 du 14 juin 2017 consid. 3.3).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Il n’existe pas, en droit des assurances sociales, un principe selon lequel l’administration ou le juge devrait statuer, dans le doute, en faveur de l’assuré (ATF 126 V 319 consid. 5a).</w:t>
      </w:r>
    </w:p>
    <w:p>
      <w:r>
        <w:t>A/4370/2019 - 18/23 -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9</w:t>
      </w:r>
    </w:p>
    <w:p>
      <w:r>
        <w:t>En l'occurrence, dans la décision attaquée, l'intimé a retenu que le recourant avait été totalement incapable de travailler dès le 25 août 2016, ce qui justifiait l’octroi d’une rente entière d’invalidité dès le 1er août 2017, à l’issue du délai de carence d’un an. Toutefois, dès le 20 octobre 2018, il avait recouvré une pleine capacité de travail dans toute activité adaptée à son état de santé, ce qui entraînait la suppression de sa rente avec effet au 31 janvier 2019, trois mois après l’amélioration de son état de santé. Cette décision repose sur le rapport établi le 17 octobre 2018 par le médecin d’arrondissement de la CNA, auquel le SMR s’est rallié. Après avoir retenu les diagnostics de luxation antérieure de l’épaule gauche, de fracture du trochiter, de fracture déplacée de la colonne antérieure du cotyle gauche ostéosynthésée, de raideur de l’épaule gauche et de petit cal vicieux de la hanche gauche, le Dr O______, de la CNA, a indiqué que le cas pouvait être considéré comme stabilisé ou en voie de stabilisation sur le plan somatique. À cet égard, le Dr O______ a jugé douteux que l’assuré puisse travailler à plus de 30 % comme plâtrier, en raison de ses limitations fonctionnelles. En revanche, il a estimé qu’une activité à temps complet « pourrait » être exigible, moyennant le respect de limitations fonctionnelles en lien avec le membre supérieur, dans une profession permettant d’alterner les positions assise / debout, de changer régulièrement de position et d’éviter les montées répétées de pentes ou d’escaliers, ainsi que les élévations au niveau du plan des épaules « en force » au-delà de 10 kg. Constatant en outre que l’assuré semblait présenter une dégradation sur le plan psychologique, le Dr O______ a préconisé une évaluation par le « psychiatre d’arrondissement » et une prise en charge psychiatrique-psychologique.</w:t>
      </w:r>
    </w:p>
    <w:p>
      <w:r>
        <w:t>A/4370/2019 - 19/23 - Dans un rapport daté du 14 novembre 2018, le Dr P______, médecin d’arrondissement et spécialiste en psychiatrie, a conclu, sur la base des constatations effectuées par les médecins de la CRR et le Dr O______, qu’il n’existait pas de problématique psychique en relation de causalité naturelle avec l’accident de 2016. De son côté, le recourant soutient que son incapacité de travail a persisté au-delà du 31 janvier 2019. Il soutient notamment que, selon deux rapports établis par les Drs S______ et T______, sa capacité de travail s’élève tout au plus à 30 %, avec un rendement particulièrement faible estimé à 30 %. Le recourant reproche à l’intimé une instruction insuffisante, qu’il convient à selon lui de poursuivre. Il souligne que l’avis du SMR est contradictoire avec celui des Drs S______ et T______, ce qui éveille de forts doutes sur sa fiabilité et démontre qu’il est dénué de valeur probante. En outre, les limitations fonctionnelles retenues par le Dr S______ sont telles qu’il n’est pas concrètement imaginable qu’il retrouve un emploi. Enfin, il relève qu’en présence d’un avis reposant sur le dossier, la mise en œuvre d’une expertise se justifie si des doutes, même faibles, subsistent quant à sa fiabilité.</w:t>
      </w:r>
    </w:p>
    <w:p>
      <w:r>
        <w:rPr>
          <w:b/>
        </w:rPr>
        <w:t>E. 10</w:t>
      </w:r>
    </w:p>
    <w:p>
      <w:r>
        <w:t>décembre 2019, le Dr S______ a jugé le recourant incapable d’exercer une quelconque activité professionnelle, en raison notamment de douleurs du pli inguinal gauche, d’amplitudes d’élévation diminuées de l’épaule gauche et d’un</w:t>
      </w:r>
    </w:p>
    <w:p>
      <w:r>
        <w:t>A/4370/2019 - 20/23 - manque de ressources. De son côté, le Dr T______, dans son rapport du 17 décembre 2019, n’a pas été en mesure de dire si le recourant disposait d’une capacité résiduelle de travail dans une activité adaptée, mais il a suggéré qu’une expertise soit mise en œuvre en vue de clarifier la question, proposition à laquelle le Dr S______ s’est ensuite rallié. Pour sa part, le Dr E______ a indiqué le 5 octobre 2018 qu’il ne voyait pas quel type de reconversion professionnelle pourrait convenir à l’assuré, étant donné que les douleurs étaient présentes tant en position assise que debout. Ce médecin a donc lui aussi exprimé sa perplexité quant à l’exercice d’une profession autre que celle de staffeur, même si la pertinence de son appréciation doit être relativisée, puisque dans d’autres rapports, il a justifié sa difficulté à envisager une reconversion professionnelle non seulement par les douleurs du recourant, mais aussi par un manque de formation, à savoir par un facteur étranger à l’invalidité, dont l’assurance n’a pas à répondre, comme la CJCAS l’a relevé dans le cadre de l’arrêt qu’elle a rendu en matière d’assistance juridique (ATF 107 V 17 consid. 2c ; arrêt du Tribunal fédéral U 388/01 du 2 décembre 2002 consid. 2.2 ; ATAS/1067/2019 consid. 9). Il n’en demeure pas moins qu’en définitive, les avis exprimés par la plupart des médecins consultés par le recourant ne confirment pas celui du médecin d’arrondissement. Cette divergence est propre à faire naître un doute quant au bien-fondé des conclusions du Dr O______ sur lesquelles repose la décision attaquée. Pour le reste, le fait que certains des rapports produits par le recourant soient postérieurs à la décision attaquée ne suffit pas à en faire abstraction, puisque ces documents concernent des atteintes antérieures à la décision, qui ont été jugées stabilisées, de sorte qu’il apparaît peu probable que la situation se soit significativement modifiée entretemps (ATF 99 V 102 et les arrêts cités ; arrêt du Tribunal fédéral des assurances I 321/04 du 18 juillet 2005 consid. 5). S’agissant des deux rapports de la CRR, il en ressort que les médecins de cet établissement ont renoncé à se prononcer sur l’exigibilité d’une activité adaptée, dans la mesure où la situation ne leur paraissait pas médicalement stabilisée en juillet 2018, à l’issue du second séjour du recourant (l’intéressé devait alors discuter avec ses médecins d’une nouvelle intervention chirurgicale et subir un complément d’imagerie ainsi qu’une infiltration dans la hanche gauche). Les médecins de la CRR ont toutefois indiqué que le pronostic de réinsertion dans une activité adaptée leur paraissait « limité ». Par ailleurs, le résumé des ateliers professionnels que le recourant a suivis à la CRR (ateliers « cube » ; « mini pixels » et « création de dossiers ») démontre que l’intéressé a déploré des douleurs lors de chaque atelier, ce qui, là encore, éveille certains doutes sur son aptitude à exercer une activité lucrative à 100 %. Quant aux rapports de synthèses établis sur dossier par le SMR, notamment en février 2019, ils se limitent essentiellement à résumer les rapports des médecins de la CNA (notamment les limitations fonctionnelles retenues par le Dr O______ et la CRR) et ne permettent pas de pallier aux doutes qui viennent d’être évoqués. La</w:t>
      </w:r>
    </w:p>
    <w:p>
      <w:r>
        <w:t>A/4370/2019 - 21/23 - valeur probante de ces documents est au demeurant sujette à caution, dans la mesure où ils ne contiennent ni résumé des plaintes, ni réelle motivation à l’appui de la conclusion selon laquelle le recourant serait pleinement capable d’exercer une activité adaptée depuis le mois d’octobre 2018.</w:t>
      </w:r>
    </w:p>
    <w:p>
      <w:r>
        <w:rPr>
          <w:b/>
        </w:rPr>
        <w:t>E. 11</w:t>
      </w:r>
    </w:p>
    <w:p>
      <w:r>
        <w:t>Au regard de ce qui précède, force est de constater qu'il existe une divergence entre le point de vue du médecin d’arrondissement de la CNA – auquel le SMR a adhéré – et celui des autres médecins qui se sont exprimés, notamment en ce qui concerne la capacité de travail dans une activité adaptée et son étendue, sans que l'on ait des motifs décisifs pour dénier toute valeur probante à leurs avis respectifs. Il existe un doute suffisant pour qu'il soit fait appel à un expert en vue de départager ces opinions, conformément à la jurisprudence (arrêt du Tribunal fédéral 8C_251/2012 du 27 août 2012 consid. 3.4). Ces considérations conduisent la CJCAS, dans le cadre d’un arrêt rendu ce jour dans la procédure parallèle en matière d’assurance-accidents (ATAS/833/2020), à renvoyer le dossier à la CNA afin qu’elle mette en œuvre une expertise à tout le moins rhumatologique, conformément à l’art. 44 LPGA. En vue de compléter l’instruction, il appartiendra donc à l’office intimé d’obtenir auprès de la CNA une copie du (futur) rapport d’expertise. Enfin, il convient de relever que le Dr O______, à l’instar des médecins de la CRR, a préconisé une prise en charge psychiatrique/psychothérapeutique, après avoir relevé notamment que « […] lorsqu’on pousse un peu [le recourant], on s’aperçoit qu’on a une dégradation car sur le plan psychologique, il n’a jamais été suivi, il se met à pleurer et évalue mal son avenir […] ». Toutefois, la question d’une éventuelle incapacité de travail résultant de troubles psychiques n’a pas été examinée par la CNA, dans la mesure où elle est partie du principe que lesdits troubles n’étaient pas en relation de causalité naturelle avec l’accident, selon l’appréciation du Dr P______. Cette appréciation-là est toutefois dénuée de pertinence dans le cadre de la présente procédure. En effet, alors que la responsabilité de l'assurance-accidents se limite aux seules atteintes qui se trouvent en lien de causalité naturelle et adéquate avec l'accident assuré, l’assurance-invalidité doit tenir compte de l'ensemble des pathologies dont souffre l'assuré (ATF 119 V 337 consid. 1 et les références ; arrêt du Tribunal fédéral des assurances U 301/05 du 11 mai 2006 consid. 3.1). Aussi, conformément à son obligation d’instruire (art. 43 al. 1 LPGA) et dans le but de clarifier la capacité de travail du recourant également sous l’angle psychique, il conviendrait que l’intimé obtienne, à tout le moins, un rapport se prononçant sur cette capacité de travail de la part du thérapeute auquel le recourant s’est adressé, sur conseil des médecins de la CNA.</w:t>
      </w:r>
    </w:p>
    <w:p>
      <w:r>
        <w:rPr>
          <w:b/>
        </w:rPr>
        <w:t>E. 12</w:t>
      </w:r>
    </w:p>
    <w:p>
      <w:r>
        <w:t>Partant, le recours sera partiellement admis et la décision du 7 novembre 2019, annulée. La cause sera renvoyée à l’intimé pour qu’il complète l’instruction dans le sens qui précède, puis rende une nouvelle décision.</w:t>
      </w:r>
    </w:p>
    <w:p>
      <w:r>
        <w:t>A/4370/2019 - 22/23 - Le recourant obtenant partiellement gain de cause, une indemnité de de CHF 2'000.- lui est accordée à titre de participation à ses frais et dépens (art. 61 let. g LPGA ; art. 89H al. 3 LPA ; art. 6 du règlement sur les frais, émoluments et indemnités en procédure administrative du 30 juillet 1986 - RFPA ; RS E 5 10.03), à charge de l’intimé. La procédure de recours en matière de contestation portant sur l’octroi ou le refus de prestations de l’assurance-invalidité étant soumise à des frais de justice, un émolument de CHF 200.- est mis à charge de l’intimé (art. 69 al. 1 bis LAI). *****</w:t>
      </w:r>
    </w:p>
    <w:p>
      <w:r>
        <w:t>A/4370/2019 - 23/23 -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