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ATAS/834/2017 vom 21. September 2017</w:t>
      </w:r>
    </w:p>
    <w:p>
      <w:r>
        <w:t>GE Cour de justice, 2017-09-21, FR</w:t>
      </w:r>
    </w:p>
    <w:p>
      <w:r>
        <w:rPr>
          <w:b/>
        </w:rPr>
        <w:t xml:space="preserve">Quelle: </w:t>
      </w:r>
      <w:r>
        <w:t>https://mcp.opencaselaw.ch/entscheid/ge_gerichte_ATAS_834_2017</w:t>
      </w:r>
    </w:p>
    <w:p>
      <w:r>
        <w:t>FR: GE_GERICHTE ATAS/834/2017 du 21 septembre 2017</w:t>
      </w:r>
    </w:p>
    <w:p>
      <w:r>
        <w:t>IT: GE_GERICHTE ATAS/834/2017 del 21 settembre 2017</w:t>
      </w:r>
    </w:p>
    <w:p>
      <w:pPr>
        <w:pStyle w:val="Heading2"/>
      </w:pPr>
      <w:r>
        <w:t>Erwägungen</w:t>
      </w:r>
    </w:p>
    <w:p>
      <w:r>
        <w:rPr>
          <w:b/>
        </w:rPr>
        <w:t>E. 1</w:t>
      </w:r>
    </w:p>
    <w:p>
      <w:r>
        <w:t>Conformément à l'art. 134 al. 1 let. a ch. 2 de la loi sur l'organisation judiciaire, du 26 septembre 2010 (LOJ - E 2 05), la Chambre des assurances sociales de la Cour</w:t>
      </w:r>
    </w:p>
    <w:p>
      <w:r>
        <w:t>A/728/2017 - 4/9 -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règles applicables sont celles en vigueur au moment où les faits juridiquement déterminants se sont produits (ATF 130 V 445), étant précisé que le juge n'a pas à prendre en considération les modifications du droit ou de l'état de fait postérieures à la date déterminante de la décision litigieuse (ATF 129 V 1 consid. 1.2).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 Par ailleurs, la loi fédérale du 16 décembre 2005 modifiant la LAI entrée en vigueur le 1er juillet 2006 (RO 2006 2003) a apporté des modifications, notamment en matière de procédure (art. 52, 58 et 61 let. a LPGA).</w:t>
      </w:r>
    </w:p>
    <w:p>
      <w:r>
        <w:rPr>
          <w:b/>
        </w:rPr>
        <w:t>E. 3</w:t>
      </w:r>
    </w:p>
    <w:p>
      <w:r>
        <w:t>Interjeté dans le délai légal (art. 56 à 60 LPGA), le recours est intervenu en temps utile. Se pose en revanche la question de sa recevabilité quant à la forme, mise en doute par l’intimé. L’art. 61 let. b LPGA prévoir à cet égard que l'acte de recours doit contenir un exposé succinct des faits et des motifs invoqués, ainsi que les conclusions. Quant à l’art. 65 al. 1 et 2 de la loi sur la procédure administrative du 12 septembre 1985 (LPA-GE - E 5 10), il exige que l’acte de recours contienne la désignation de la décision attaquée et les conclusions du recourant, ainsi que l’exposé des motifs et l’indication des moyens de preuve. Ainsi que l’a encore récemment rappelé notre Haute Cour, dans un arrêt 8C_479/2016 du 2 août 2017, la règle de l'art. 61 let. b LPGA découle du principe de l'interdiction du formalisme excessif et constitue l'expression du principe de la simplicité de la procédure qui gouverne le droit des assurances sociales (arrêt 8C_828/2009 du 8 septembre 2010 consid. 6.2 et la référence ; cf. UELI KIESER, ATSG-Kommentar, 3 e éd. 2015, n° 84 ad art. 61 LPGA). C'est pourquoi le juge saisi d'un recours dans ce domaine ne doit pas se montrer trop strict lorsqu'il s'agit d'apprécier la forme et le contenu de l'acte de recours (ATF 134 V 162 consid. 2 p. 163 s. ; 112 Ib 634 consid. 2b p. 635 ; 107 V 244 consid. 2 p. 245 ; 104 V 178). En l’espèce, l’assuré, dans son courrier du 1er mars 2017 à la juridiction de céans, n’a certes pas désigné expressément la décision du 3 février 2017 mais il a joint</w:t>
      </w:r>
    </w:p>
    <w:p>
      <w:r>
        <w:t>A/728/2017 - 5/9 - celle-ci à son recours et a indiqué littéralement « j’aimerais faire recours à la décision de non droit à l’AI » (sic). Sa volonté de recourir contre la décision en question ne fait donc aucun doute. Quant aux conclusions, implicites, elles visent manifestement à obtenir l’annulation de la décision visée. Dans la suite de son courrier, il motive sa position en expliquant qu’il reproche à l’intimé de s’être basé sur le fait qu’il aurait déjà exercé des activités à 100%, ce qu’il conteste et explique à cet égard que son curriculum vitae ne peut faire foi car il l’a volontairement enjolivé. Force est donc de constater qu’il existe bel et bien une motivation, même succincte. Peu importe à ce stade de savoir si elle est fondée ou non. Dans ces circonstances, il y a lieu de déclarer le recours recevable également quant à la forme.</w:t>
      </w:r>
    </w:p>
    <w:p>
      <w:r>
        <w:rPr>
          <w:b/>
        </w:rPr>
        <w:t>E. 4</w:t>
      </w:r>
    </w:p>
    <w:p>
      <w:r>
        <w:t>Est litigieuse quant au fond la question de savoir si les atteintes à la santé du recourant entraînent une perte de gain susceptible de lui ouvrir droit à des prestations de l’assurance-invalidité.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w:t>
      </w:r>
    </w:p>
    <w:p>
      <w:r>
        <w:t>A/728/2017 - 6/9 -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w:t>
      </w:r>
    </w:p>
    <w:p>
      <w:r>
        <w:t>A/728/2017 - 7/9 -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9</w:t>
      </w:r>
    </w:p>
    <w:p>
      <w:r>
        <w:t>En l’espèce, force est de constater que le médecin traitant est le seul à évoquer une éventuelle incapacité partielle de travail, qu’il motive par la fatigue et la somnolence dont se plaint son patient. Celles-ci sont la conséquence du syndrome d’apnées du sommeil objectivé et non contesté. Le spécialiste en charge de ce trouble particulier, le Dr D______, a cependant quant à lui clairement infirmé toute influence sur la capacité de travail de l’assuré, tout comme le Dr F______. Quant aux allégations du médecin traitant selon lesquelles l’atteinte en question aurait empêché son patient de poursuivre une scolarité normale, elles sont infirmées par les faits - l'intéressé ayant obtenu une maturité fédérale - et, quoi qu’il en soit, plus à l’ordre du jour puisque, depuis lors, l’assuré a subi une intervention devant lui faciliter le port de l’appareil CPAP destiné au traitement de l’atteinte en question. Le caractère non incapacitant de l’apnée obstructive du sommeil ne fait donc aucun doute au vu des documents médicaux versés au dossier et le recourant ne produit à</w:t>
      </w:r>
    </w:p>
    <w:p>
      <w:r>
        <w:t>A/728/2017 - 8/9 - cet égard aucun élément médical objectif permettant de s’écarter de ces conclusions. Quant au fait qu’il ait ou non exercé des activités à plein temps, il est dénué de pertinence pour juger de la capacité de travail, étant rappelé que le juge ne saurait se fonder simplement sur le travail que l'assuré a fourni ou s'estime lui-même capable de fournir. Eu égard aux considérations qui précèdent, il apparaît que l’intimé était fondé à conclure à l’absence de toute atteinte à la santé invalidante et à nier au recourant le droit à toute prestation. Le recours est donc rejeté.</w:t>
      </w:r>
    </w:p>
    <w:p>
      <w:r>
        <w:t>A/728/2017 - 9/9 -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