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ATAS/834/2015 vom 3. November 2015</w:t>
      </w:r>
    </w:p>
    <w:p>
      <w:r>
        <w:t>GE Cour de justice, 2015-11-03, FR</w:t>
      </w:r>
    </w:p>
    <w:p>
      <w:r>
        <w:rPr>
          <w:b/>
        </w:rPr>
        <w:t xml:space="preserve">Quelle: </w:t>
      </w:r>
      <w:r>
        <w:t>https://mcp.opencaselaw.ch/entscheid/ge_gerichte_ATAS_834_2015</w:t>
      </w:r>
    </w:p>
    <w:p>
      <w:r>
        <w:t>FR: GE_GERICHTE ATAS/834/2015 du 3 novembre 2015</w:t>
      </w:r>
    </w:p>
    <w:p>
      <w:r>
        <w:t>IT: GE_GERICHTE ATAS/834/2015 del 3 novembre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 délai de recours est de 30 jours (art. 60 al. 1 LPGA). Interjeté dans la forme et le délai prévus par la loi, le recours est recevable, en vertu des art. 56ss LPGA.</w:t>
      </w:r>
    </w:p>
    <w:p>
      <w:r>
        <w:rPr>
          <w:b/>
        </w:rPr>
        <w:t>E. 4.2</w:t>
      </w:r>
    </w:p>
    <w:p>
      <w:r>
        <w:t>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 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w:t>
      </w:r>
    </w:p>
    <w:p>
      <w:r>
        <w:t>A/1616/2015 - 9/16 - du 17 mars 2005 consid. 5.4.4 ; arrêts du Tribunal fédéral D. I 308/04 et I 309/04 du 14 janvier 2005 ; I 681/02 S.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 La jurisprudence ne pose pas de grandeur limite au-delà de laquelle l'aide des membres de la famille ne serait plus possible (arrêt 9C_716/2012 du 11 avril 2013 consid. 4.4). Elle pose comme critère que l'aide ne saurait constituer une charge excessive du seul fait qu'elle va au-delà du soutien que l'on peut attendre de manière habituelle sans atteinte à la santé (ATF 133 V 504 consid. 4.2 p. 509 s.; 130 V 97 consid. 3.3.3 p. 101 et les références).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p. 53). Pour déterminer la méthode applicable au cas particulier, il faut non pas, malgré la teneur de l'art. 8 al. 3 LPGA, chercher à savoir dans quelle mesure l'exercice d'une activité lucrative aurait été exigible de la part de l'assuré, mais se demander ce que l'assuré aurait fait si l'atteinte à la santé n'était pas survenue (ATF 133 V 504 consid. 3.3. p. 507; pour le cas des rentiers et des assurés qui ont pris une retraite anticipée, voir cependant arrêt 9C_9/2013 du 27 mars 2013 consid. 2.4 et la référence).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w:t>
      </w:r>
    </w:p>
    <w:p>
      <w:r>
        <w:t>A/1616/2015 - 10/16 - assurances sociales atteigne le degré de la vraisemblance prépondérante (ATF 137 V 334 consid. 3 p. 337 et les références). Dans l'arrêt 9C_36/2013 du 21 juin 2013, le Tribunal fédéral a relevé que l'absence d'exercice d'une activité lucrative avant la survenance de l'atteinte à la santé n'induisait pas nécessairement l'application de la méthode spécifique d'évaluation de l'invalidité à la personne assurée concernée. En effet, les travaux habituels qui peuvent être assimilés à l'exercice d'une activité lucrative et que l'on peut dès lors prendre en compte, par le biais de la méthode spécifique, pour l'évaluation de l'invalidité sont les travaux du ménage (y compris l'éducation des enfants), le fait de suivre une formation, toute activité artistique ou d'utilité publique ou encore les travaux auxquels se consacrent les communautés religieuses (art. 27 RAI; cf. Message du Conseil fédéral concernant la 4e révision de la loi fédérale sur l'assurance-invalidité, FF 2001 IV 3110).</w:t>
      </w:r>
    </w:p>
    <w:p>
      <w:r>
        <w:rPr>
          <w:b/>
        </w:rPr>
        <w:t>E. 5</w:t>
      </w:r>
    </w:p>
    <w:p>
      <w:r>
        <w:t>Le litige porte sur le droit de l’assurée à une rente d’invalidité plus importante qu’un quart de rente, et plus particulièrement sur son statut et sur les conclusions de l’enquête ménagère.</w:t>
      </w:r>
    </w:p>
    <w:p>
      <w:r>
        <w:rPr>
          <w:b/>
        </w:rPr>
        <w:t>E. 6</w:t>
      </w:r>
    </w:p>
    <w:p>
      <w:r>
        <w:t>Aux termes de l’art. 4 LAI, l’invalidité (art. 8 LPGA) peut résulter d’une infirmité congénitale, d’une maladie ou d’un accident (al. 1er). L’invalidité est réputée survenue dès qu’elle est, par sa nature et sa gravité, propre à ouvrir droit aux prestations entrant en considération (al.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(arrêt du Tribunal fédéral des assurances I 786/04 du 19 janvier 2006 consid. 3.1). Les facteurs psychosociaux ou socioculturels ne figurent pas au nombre des atteintes à la santé susceptibles d'entraîner une incapacité de gain au sens de l'art. 4 al. 1 LAI. Pour qu'une invalidité soit reconnue, il est nécessaire, dans chaque cas,</w:t>
      </w:r>
    </w:p>
    <w:p>
      <w:r>
        <w:t>A/1616/2015 - 7/16 - qu'un substrat médical pertinent, entravant la capacité de travail (et de gain) de manière importante, soit mis en évidence par le médecin spécialisé.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Aux termes de l’art. 8 al. 1er LPGA, est réputée invalidité l’incapacité de gain totale ou partielle qui est présumée permanente ou de longue durée, résultant d'une infirmité congénitale, d'une maladie ou d'un accident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(art. 7 al. 1 LPGA). Dans ce contexte, la rente de l'assurance-invalidité vise à la compensation d'un préjudice patrimonial qui présente une certaine importance (art. 28 al. 2 LAI);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En choisissant de ne pas travailler, la personne assurée a ainsi délibérément renoncé au salaire qu'elle aurait pu réaliser en travaillant; l'absence de revenu consécutive à ce choix ne résulte pas de facteurs médicaux et ne saurait être compensée, pour quelque raison que ce soit, par l'assurance-invalidité (cf. ATF 137 V 334 consid. 5.5.3 p. 345).</w:t>
      </w:r>
    </w:p>
    <w:p>
      <w:r>
        <w:rPr>
          <w:b/>
        </w:rPr>
        <w:t>E. 8</w:t>
      </w:r>
    </w:p>
    <w:p>
      <w:r>
        <w:t>Pour évaluer le degré d'invalidité, il existe principalement trois méthodes - la méthode générale de comparaison des revenus, la méthode spécifique et la méthode mixte -, dont l'application dépend du statut du bénéficiaire potentiel de la rente:</w:t>
      </w:r>
    </w:p>
    <w:p>
      <w:r>
        <w:t>A/1616/2015 - 8/16 - assuré exerçant une activité lucrative à temps complet, assuré sans activité lucrative, assuré exerçant une activité lucrative à temps partiel.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p. 313 et les références) et la méthode extraordinaire de comparaison des revenus (ATF 128 V 29; voir également arrêt 9C_236/2009 du 7 octobre 2009 consid. 3 et 4, in SVR 2010 IV n° 11 p. 35).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5 al. 1 LAI et 27 RAI). Pour satisfaire à l'obligation de réduire le dommage (voir ATF 129 V 463 consid.</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w:t>
      </w:r>
    </w:p>
    <w:p>
      <w:r>
        <w:t>A/1616/2015 - 11/16 -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Pour évaluer l'invalidité des assurés travaillant dans le ménage, l'administration procède à une enquête sur les activités ménagères et fixe l'empêchement dans chacune des activités habituelles conformément au chiffre 3095 de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w:t>
      </w:r>
    </w:p>
    <w:p>
      <w:r>
        <w:t>A/1616/2015 - 12/16 -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rPr>
          <w:b/>
        </w:rPr>
        <w:t>E. 10</w:t>
      </w:r>
    </w:p>
    <w:p>
      <w:r>
        <w:t>p. 28 consid. 4b), la jurisprudence rendue sous l’empire de l’art. 4 aCst. étant toujours valable (ATF 124 V 90 consid. 4b; ATF 122 V 157 consid. 1d).</w:t>
      </w:r>
    </w:p>
    <w:p>
      <w:r>
        <w:rPr>
          <w:b/>
        </w:rPr>
        <w:t>E. 11</w:t>
      </w:r>
    </w:p>
    <w:p>
      <w:r>
        <w:t>En l’espèce, l’OAI a retenu que l’assurée aurait, en bonne santé, exercé une activité lucrative à 20% et aurait, partant, consacré la part restante, de 80%, aux tâches ménagères.</w:t>
      </w:r>
    </w:p>
    <w:p>
      <w:r>
        <w:t>A/1616/2015 - 13/16 - L’assurée conteste ce statut. Les explications concernant le nombre d’heures durant lesquelles elle aurait enseigné par semaine que l’assurée a données dans le cadre de l’enquête ménagère se contredisent. L’activité de professeur d’arabe n’a pas été déclarée et aucune preuve écrite n’a été apportée qui permettrait de déterminer le taux d’activité et le revenu réalisé. Dans son recours, elle a affirmé avoir toujours travaillé à plein temps. Il apparaît toutefois dans ses comptes individuels de cotisations qu’elle n’a en réalité exercé une activité lucrative que durant trois mois en 2001. Cette affirmation ne correspond pas non plus au demeurant avec les déclarations qu’elle a faites lors de l’enquête ménagère. Il y a ainsi lieu de se référer aux conclusions du jugement sur mesures protectrices de l’union conjugale, selon lesquelles elle a donné, durant le mariage, des cours d’arabe à raison de huit heures par semaine environ. Elle n’a ensuite donné plus que deux heures de cours par semaine, ce qui lui procure un revenu de CHF 280.- par mois en moyenne, ce jusqu’en mars 2012. L’assurée a par ailleurs déclaré que, sans atteinte à la santé, elle exercerait une activité lucrative à ce jour, « parce qu’elle aimait sortir et pour des raisons financières ». Elle souligne que, suite à la séparation d’avec son mari, et si elle était en bonne santé, elle devrait travailler le plus possible, soit à plein temps. Force est toutefois de relever qu’aucun document au dossier n’atteste de la moindre recherche d’emploi de la part de l’assurée. Il convient du reste de rappeler que par jugement sur mesures protectrices de l’union conjugale du 10 février 2011, son ex- époux a été condamné à lui verser la somme de CHF 3'600.- par mois, à titre de contribution à l’entretien de la famille. Elle n’avait ainsi pas nécessairement besoin de travailler davantage pour garder sa situation financière au même niveau que durant le mariage. C'est dès lors à bon droit que l'OAI a fait application de la méthode mixte pour évaluer son invalidité en retenant une part professionnelle de 20% (soit huit heures par semaine).</w:t>
      </w:r>
    </w:p>
    <w:p>
      <w:r>
        <w:rPr>
          <w:b/>
        </w:rPr>
        <w:t>E. 12</w:t>
      </w:r>
    </w:p>
    <w:p>
      <w:r>
        <w:t>Il s’agit à ce stade de déterminer quelle est la capacité de travail de l’assurée.</w:t>
      </w:r>
    </w:p>
    <w:p>
      <w:r>
        <w:rPr>
          <w:b/>
        </w:rPr>
        <w:t>E. 13</w:t>
      </w:r>
    </w:p>
    <w:p>
      <w:r>
        <w:t>Il n’est pas contesté que l'assurée présente une incapacité entière de travailler quelle que soit l’activité lucrative envisagée.</w:t>
      </w:r>
    </w:p>
    <w:p>
      <w:r>
        <w:rPr>
          <w:b/>
        </w:rPr>
        <w:t>E. 14</w:t>
      </w:r>
    </w:p>
    <w:p>
      <w:r>
        <w:t>S’agissant des empêchements à accomplir les tâches ménagères, une enquête a été réalisée le 10 novembre 2014 au domicile de l’assurée.</w:t>
      </w:r>
    </w:p>
    <w:p>
      <w:r>
        <w:rPr>
          <w:b/>
        </w:rPr>
        <w:t>E. 15</w:t>
      </w:r>
    </w:p>
    <w:p>
      <w:r>
        <w:t>Il ressort plus particulièrement de cette enquête que les fils adultes ne participent pas aux tâches ménagères, l’assurée précisant à cet égard que dans son pays, les hommes n’interviennent pas dans le ménage. En revanche, son amie l’aide beaucoup, ainsi qu’une autre. L’enquêtrice a quoi qu’il en soit tenu compte de l’exigibilité des membres de la famille vivant sous le même toit à hauteur de 28,5%. Il y a à cet égard lieu de rappeler que dans le cadre de l'évaluation de l'invalidité dans les travaux habituels, l'aide des membres de la famille (en particulier celle des</w:t>
      </w:r>
    </w:p>
    <w:p>
      <w:r>
        <w:t>A/1616/2015 - 14/16 - enfants) va même au-delà de ce que l'on peut attendre de ceux-ci, si la personne assurée n'était pas atteinte dans sa santé (arrêt du Tribunal fédéral I 257/04 du</w:t>
      </w:r>
    </w:p>
    <w:p>
      <w:r>
        <w:rPr>
          <w:b/>
        </w:rPr>
        <w:t>E. 17</w:t>
      </w:r>
    </w:p>
    <w:p>
      <w:r>
        <w:t>Force est de constater que cette enquête respecte les réquisits posés par la jurisprudence et a valeur probante. L’assurée ne conteste du reste ni les pondérations, ni les taux d’empêchement retenus. En principe, le juge n’intervient au demeurant pas dans l’appréciation de l’auteur du rapport sauf lorsqu’il existe des erreurs d’estimation que l’on peut clairement constater ou des indices laissant apparaître une inexactitude dans les résultats de l’enquête. Or, en l’espèce, rien ne permet de dire que l’évaluation faite par l’enquêtrice serait erronée. Il se justifie dès lors de confirmer l’empêchement établi lors de l’enquête du 10 novembre 2014, soit celui de 32%.</w:t>
      </w:r>
    </w:p>
    <w:p>
      <w:r>
        <w:rPr>
          <w:b/>
        </w:rPr>
        <w:t>E. 18</w:t>
      </w:r>
    </w:p>
    <w:p>
      <w:r>
        <w:t>L’assurée a sollicité une comparution personnelle des parties, ainsi que l’audition de son amie. Le droit de faire administrer des preuves ne peut empêcher le juge de renoncer à l’administration de certaines preuves offertes et de procéder à une appréciation anticipée de ces dernières, en particulier s’il acquiert la certitude que celles-ci ne l’amèneront pas à modifier son opinion (ATF 2C_235/2015) ou si le fait établi résulte déjà des constatations ressortant du dossier (ATF 136 I 229 consid. 5.2). En l’espèce, la chambre de céans estime disposer d’un dossier complet lui permettant de statuer. Elle ne donnera dès lors pas suite à la demande de l’assurée.</w:t>
      </w:r>
    </w:p>
    <w:p>
      <w:r>
        <w:rPr>
          <w:b/>
        </w:rPr>
        <w:t>E. 19</w:t>
      </w:r>
    </w:p>
    <w:p>
      <w:r>
        <w:t>Le taux d’invalidité doit, au vu de ce qui précède, être calculé sur la base d’un taux d’invalidité de 100% s’agissant de la part professionnelle et d’un taux d’empêchement à accomplir les tâches ménagères de 32%, ce qui donne un degré d’invalidité de 46%, suffisant pour ouvrir droit à un quart de rente d’invalidité (art. 28 al. 2 LAI), mais pas à une demi-rente.</w:t>
      </w:r>
    </w:p>
    <w:p>
      <w:r>
        <w:rPr>
          <w:b/>
        </w:rPr>
        <w:t>E. 20</w:t>
      </w:r>
    </w:p>
    <w:p>
      <w:r>
        <w:t>En vertu des art. 28 al. 1 et 29 al. 1 LAI (dans sa teneur en vigueur depuis le 1er janvier 2008), le droit à la rente prend naissance au plus tôt à la date dès laquelle l’assuré a présenté une incapacité de travail (art. 6 LPGA) d’au moins 40% en</w:t>
      </w:r>
    </w:p>
    <w:p>
      <w:r>
        <w:t>A/1616/2015 - 15/16 -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Le droit au versement de la rente n’est ouvert qu’au plus tôt six mois après le dépôt de la demande. L’assurée ayant déposé sa demande de prestations AI le 22 août 2013, force est d’en conclure que le versement de la rente ne peut intervenir qu’à compter du 1er mars 2014.</w:t>
      </w:r>
    </w:p>
    <w:p>
      <w:r>
        <w:rPr>
          <w:b/>
        </w:rPr>
        <w:t>E. 21</w:t>
      </w:r>
    </w:p>
    <w:p>
      <w:r>
        <w:t>Aussi le recours ne peut-il être que rejeté.</w:t>
      </w:r>
    </w:p>
    <w:p>
      <w:r>
        <w:rPr>
          <w:b/>
        </w:rPr>
        <w:t>E. 22</w:t>
      </w:r>
    </w:p>
    <w:p>
      <w:r>
        <w:t>Bien que la procédure ne soit pas gratuite en matière d'assurance-invalidité (art. 69 al. 1bis LAI), il convient de renoncer à la perception d'un émolument, l'assuré étant au bénéfice de l'assistance juridique (art. 12 al. 1 du règlement sur les frais, émoluments et indemnités en procédure administrative du 30 juillet 1986; RS E 510. 03).</w:t>
      </w:r>
    </w:p>
    <w:p>
      <w:r>
        <w:t>A/1616/2015 - 16/16 -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