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ATAS/833/2014 vom 30. Juni 2014</w:t>
      </w:r>
    </w:p>
    <w:p>
      <w:r>
        <w:t>GE Cour de justice, 2014-06-30, FR</w:t>
      </w:r>
    </w:p>
    <w:p>
      <w:r>
        <w:rPr>
          <w:b/>
        </w:rPr>
        <w:t xml:space="preserve">Quelle: </w:t>
      </w:r>
      <w:r>
        <w:t>https://mcp.opencaselaw.ch/entscheid/ge_gerichte_ATAS_833_2014</w:t>
      </w:r>
    </w:p>
    <w:p>
      <w:r>
        <w:t>FR: GE_GERICHTE ATAS/833/2014 du 30 juin 2014</w:t>
      </w:r>
    </w:p>
    <w:p>
      <w:r>
        <w:t>IT: GE_GERICHTE ATAS/833/2014 del 30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5</w:t>
      </w:r>
    </w:p>
    <w:p>
      <w:r>
        <w:t>Le litige porte sur le droit de l'assurée à une rente d'invalidité, singulièrement sur son statut, ses empêchements ménagers et l'amélioration de son état de santé après le 31 décembre 2011.</w:t>
      </w:r>
    </w:p>
    <w:p>
      <w:r>
        <w:t>A/3445/2013 - 11/18 -</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w:t>
      </w:r>
    </w:p>
    <w:p>
      <w:r>
        <w:t>A/3445/2013 - 12/18 -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w:t>
      </w:r>
    </w:p>
    <w:p>
      <w:r>
        <w:t>b.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w:t>
      </w:r>
    </w:p>
    <w:p>
      <w:r>
        <w:t>A/3445/2013 - 13/18 -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c. Pour satisfaire à l'obligation de réduire le dommage (voir ATF 129 V 463 consid.</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A/3445/2013 - 14/18 -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w:t>
      </w:r>
    </w:p>
    <w:p>
      <w:r>
        <w:t>A/3445/2013 - 15/18 - principe selon lequel l’administration ou le juge devrait statuer, dans le doute, en faveur de l’assuré (ATF 126 V 319 consid. 5a).</w:t>
      </w:r>
    </w:p>
    <w:p>
      <w:r>
        <w:rPr>
          <w:b/>
        </w:rPr>
        <w:t>E. 11</w:t>
      </w:r>
    </w:p>
    <w:p>
      <w:r>
        <w:t>En l'espèce, il convient d'abord d'établir le statut de l'assurée. Elle a toujours travaillé à temps très partiel selon son CI, sauf durant l'été 2007, où elle a travaillé deux mois à plein temps dans un EMS. Elle a d'abord allégué que, sans atteinte à la santé, elle aurait augmenté son taux d'activité en 2009, lorsque sa fille cadette a eu 10 ans, puis a indiqué en audience qu'elle aurait souhaité travailler à 50% dès que son statut de requérante d'asile a été régularisé, soit dès 2002. Or, l'assurée ne produit aucune pièce démontrant qu'elle a effectivement cherché à travailler à 50%. S'il est notoire que les entreprises de nettoyage rechignent à accorder un poste à plein temps, en raison de la différence de catégorie salariale, il s'avère que l'assurée était au bénéfice de contrats de travail "catégorie 5", dans laquelle le salaire reste valable jusqu'à vingt-deux heures par semaine, de sorte qu'il n'est pas établi au degré de la vraisemblance prépondérante que l'assurée ait demandé sans succès à ses employeurs d'augmenter son activité de quinze heures à vingt-deux heures par semaine. A cet égard, le fait que l'OCE ait retenu un taux d'activité de 50% lors de l'inscription en 2008 n'est pas seul déterminant, car ce taux correspond à l'emploi que l'assurée brigait à l'issue de l'emploi dans un EMS durant l'été 2007. Il s'avère par contre que, contrairement à ses affirmations initiales, l'assurée effectuait des ménages chez des particuliers, en sus de son emploi en entreprise. Il est ainsi établi qu'elle a régulièrement travaillé trois heures par semaine chez Madame E_______ de 2008 à 2011. L'assurée ayant affirmé ne pas avoir eu d'autres employeurs, seul un taux d'activité professionnelle de 39,48% peut être admis [3 h. + 14,37 h (moyenne entre 13,75 heures - O_______ et 15heures - F_______)/ 44 heures (horaire pour un 100%)].</w:t>
      </w:r>
    </w:p>
    <w:p>
      <w:r>
        <w:rPr>
          <w:b/>
        </w:rPr>
        <w:t>E. 12</w:t>
      </w:r>
    </w:p>
    <w:p>
      <w:r>
        <w:t>Il convient ensuite d'examiner la valeur probante du rapport d'expertise du Dr K_______. Si ce dernier se fonde en effet sur un entretien, des tests psychométriques et le dossier de l'assurée, il comporte des erreurs dans l'anamnèse et ses conclusions ne sont pas convaincantes. Certaines imprécisions sont sans conséquence sur l’examen du cas, mais dénotent d’un manque de rigueur : l’assurée n’a pas travaillé chez N_______, il s’agit-là de la personne qui a rempli le rapport d’employeur pour l’entreprise O______. Les dates des rapports médicaux des HUG et les noms des médecins signataires sont imprécis. Certains éléments de l’anamnèse, obligatoirement fondée sur les déclarations de l’assurée, sont totalement contredits par les affirmations de cette dernière. L’expert retient ainsi qu’elle aurait de nombreux amis et connaissances, qu’elle parviendrait désormais à tenir tête à son époux et qu’elle s’occuperait seule de ses tâches ménagères. S’agissant de l’examen des autres rapports médicaux, l’expert se fourvoie en indiquant que les Drs H_______ et J_______ seraient spécialistes en médecine interne, alors qu’ils sont psychiatres, mais médecins internes aux HUG. Ecartant d’un revers de la main les résultats des tests psychométriques qu’il fait passer à l’assurée, l’expert retient le diagnostic de trouble dépressif de gravité légère, sur la</w:t>
      </w:r>
    </w:p>
    <w:p>
      <w:r>
        <w:t>A/3445/2013 - 16/18 - base d’un seul entretien, et sans discussion avec les psychiatres traitants. S'agissant de la capacité de travail, l'expert retient logiquement qu’elle est entière puisqu’il diagnostique uniquement une dépression légère, mais il n’explique pas comment il est imaginable qu’une assurée atteinte dans sa santé psychique au point d’être totalement incapable de travailler du 29 décembre 2009 au 31 décembre 2011 serait, brusquement, d’un jour à l’autre, totalement capable de travailler dès le 1er janvier 2012. En conclusion, l'expertise du Dr K_______ n'est pas probante. Cela étant, on ne peut pas non plus se fonder sur les rapports des psychiatres traitants de l’assurée, tant aux HUG que dans le privé. En effet, l’ensemble des psychiatres retient l’existence d’un trouble dépressif récurrent, épisode moyen et d’un trouble de la personnalité dépendante. Aucun des rapports médicaux ne fait état d’une aggravation ou d’une amélioration notable de l’état dépressif. Au surplus, après l’hospitalisation du 26 août au 9 octobre 2008, l’assurée a repris son travail sans absence jusqu’à septembre 2009. Or, sous traitement, un état dépressif d’intensité moyenne n’implique en tout cas pas une totale incapacité de travail. Il s’avère au surplus que l’assurée a continué à travailler trois heures par semaine chez Mme E_______, régulièrement, jusqu’à fin 2011. Ainsi, s’il est incontestable que les symptômes décrits par les psychiatres traitants de l’assurée impliquent éventuellement une réduction de la capacité de travail, voire une baisse de rendement, les conclusions des médecins-traitants, qui retiennent une totale incapacité de travail, sans changement depuis septembre 2009, ne sont pas convaincantes. Bien que les médecins des HUG retiennent une amélioration dès octobre 2008, après le tentamen, grâce au traitement régulier mis en place, et pronostiquent une réduction des limitations psychiques fin 2010, ils ne modifient pas le taux d'incapacité depuis septembre 2009. Tant en 2011 qu'en 2012, l'état dépressif est d'intensité moyenne et sans évolution selon les HUG. La Dresse M_______ partage ce point de vue pour la période postérieure à janvier 2013. Sur la base de ces rapports médicaux, la conclusion d'une totale incapacité de travail n'est pas convaincante et paraît essentiellement fondée sur des éléments subjectifs. De même, le fait que les filles de l'assurée fassent le ménage à sa place n'est pas la démonstration de son incapacité à le faire. Bien que la situation médicale de l'assurée et sa capacité de travail ne soient pas clairement établis, la Cour de céans n'ordonnera pas d'expertise médicale pour les motifs qui suivent.</w:t>
      </w:r>
    </w:p>
    <w:p>
      <w:r>
        <w:rPr>
          <w:b/>
        </w:rPr>
        <w:t>E. 13</w:t>
      </w:r>
    </w:p>
    <w:p>
      <w:r>
        <w:t>Le statut de l'assurée est de 39,48% professionnel et de 60,2% ménager. On a vu que l'assurée n'avait jamais été totalement incapable de travailler, même entre septembre 2009 et décembre 2011, puisqu'elle a travaillé trois heures par semaine sur un total moyen de quatorze heures trente-sept. Le fait qu'elle soit en mesure de faire régulièrement, à heures fixes et sans absence, trois heures de ménage professionnel par semaine démontre qu'elle est aussi capable de faire en majeure partie ses propres tâches ménagères, sans qu'il soit nécessaire d'ordonner une</w:t>
      </w:r>
    </w:p>
    <w:p>
      <w:r>
        <w:t>A/3445/2013 - 17/18 - enquête ménagère. A cet égard, le grief de l’assurée, selon lequel les empêchements ménagers doivent être considérés comme très importants si l’assurée, travaillant comme employée d’entretien, est en totale incapacité de travail. En effet, l’exigence de rendement dans un travail salarié n’est pas comparable aux activités ménagères qu’une assurée peut faire à son rythme, chez elle, en fractionnant les tâches. Au surplus, en application de la jurisprudence, il est exigible du mari de l'assurée et des trois filles qui vivent à domicile qu'ils s'occupent de faire les courses, des travaux lourds et du ménage de leurs chambres, de même que, les jours où l'assurée se sent moins bien que d'autres, qu'il la suppléent pour la préparation des repas et la vaisselle. C'est donc à juste titre que l'OAI n'a pas retenu d'empêchement ménager. Ainsi, en admettant même que, de 2009 à fin 2011, l'assurée ait été incapable de travailler à 80%, le taux d'invalidité global n'atteindrait pas 40%, après comparaisons des revenus, sur la base d'un statut mixte, de sorte qu'aucun droit à la rente n'est ouvert. Au-delà, l'assurée admet qu'elle dispose à nouveau d'une capacité de travail de 20% à 30% et qu'elle cherche du travail à ce taux. L'assurée ne prétend pas à juste titre à des mesures professionnelles, qui ne se justifient au demeurant pas, l'assurée ayant une capacité de travail identique dans son activité habituelle comme dans toute autre activité simple et répétitive. En conséquence, la décision de refus de prestation de l'OAI est conforme au droit.</w:t>
      </w:r>
    </w:p>
    <w:p>
      <w:r>
        <w:rPr>
          <w:b/>
        </w:rPr>
        <w:t>E. 14</w:t>
      </w:r>
    </w:p>
    <w:p>
      <w:r>
        <w:t>Au vu de ce qui précède, le recours sera rejeté et la décision du 2 mai 2013 sera confirmée. Malgré le fait que, depuis le 1er juillet 2006, la procédure n'est plus gratuite (art. 69 al. 1bis LAI), et qu'au vu du sort du recours, il y aurait lieu de condamner la recourante au paiement d'un émolument de CHF 200.-, la Cour y renoncera, l'assurée plaidant au bénéfice de l'assistance juridique.</w:t>
      </w:r>
    </w:p>
    <w:p>
      <w:r>
        <w:t>A/3445/2013 - 18/18 -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