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ATAS/833/2012 vom 21. Juni 2012</w:t>
      </w:r>
    </w:p>
    <w:p>
      <w:r>
        <w:t>GE Cour de justice, 2012-06-21, FR</w:t>
      </w:r>
    </w:p>
    <w:p>
      <w:r>
        <w:rPr>
          <w:b/>
        </w:rPr>
        <w:t xml:space="preserve">Quelle: </w:t>
      </w:r>
      <w:r>
        <w:t>https://mcp.opencaselaw.ch/entscheid/ge_gerichte_ATAS_833_2012</w:t>
      </w:r>
    </w:p>
    <w:p>
      <w:r>
        <w:t>FR: GE_GERICHTE ATAS/833/2012 du 21 juin 2012</w:t>
      </w:r>
    </w:p>
    <w:p>
      <w:r>
        <w:t>IT: GE_GERICHTE ATAS/833/2012 del 21 giugno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20 mars 1998, date du mariage, d’autre part, le 26 août 2011, da- te à laquelle le jugement de divorce est devenu exécutoire. Il n’y a donc pas lieu de revenir sur le principe du partage, comme le souhaiterait le demandeur, dès lors que ce dernier a été admis par le juge civil et que son jugement est entré en force.</w:t>
      </w:r>
    </w:p>
    <w:p>
      <w:r>
        <w:rPr>
          <w:b/>
        </w:rPr>
        <w:t>E. 4</w:t>
      </w:r>
    </w:p>
    <w:p>
      <w:r>
        <w:t>Selon les documents produits, la prestation acquise pendant le mariage par le de- mandeur s'élève à 28'524 fr. 15, les intérêts ayant déjà été calculés par l’institution de prévoyance défenderesse. Ainsi, le demandeur doit à son ex-épouse le montant de 14'262 fr. 10 (28'524.15 : 2). A cet égard, on relèvera que, contrairement aux di- res du demandeur, il ressort clairement que son ex-épouse, durant la durée du ma-</w:t>
      </w:r>
    </w:p>
    <w:p>
      <w:r>
        <w:t>A/349/2012 4/5 riage, n’a pas réalisé de revenu soumis à cotisations AVS et - a fortiori - à cotisa- tions du 2ème pilier.</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A/349/2012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