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ATAS/832/2025 vom 3. November 2025</w:t>
      </w:r>
    </w:p>
    <w:p>
      <w:r>
        <w:t>GE Cour de justice, 2025-11-03, FR</w:t>
      </w:r>
    </w:p>
    <w:p>
      <w:r>
        <w:rPr>
          <w:b/>
        </w:rPr>
        <w:t xml:space="preserve">Quelle: </w:t>
      </w:r>
      <w:r>
        <w:t>https://mcp.opencaselaw.ch/entscheid/ge_gerichte_ATAS_832_2025</w:t>
      </w:r>
    </w:p>
    <w:p>
      <w:r>
        <w:t>FR: GE_GERICHTE ATAS/832/2025 du 3 novembre 2025</w:t>
      </w:r>
    </w:p>
    <w:p>
      <w:r>
        <w:t>IT: GE_GERICHTE ATAS/832/2025 del 3 novembre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fin 2022, soit six mois après le dépôt de la demande d’avril 2022 (cf. art. 29 al. 1 LAI), de sorte que les dispositions légales applicables seront citées dans leur nouvelle teneur.</w:t>
      </w:r>
    </w:p>
    <w:p>
      <w:r>
        <w:t>A/2983/2024 - 14/23 -</w:t>
      </w:r>
    </w:p>
    <w:p>
      <w:r>
        <w:rPr>
          <w:b/>
        </w:rPr>
        <w:t>E. 2</w:t>
      </w:r>
    </w:p>
    <w:p>
      <w:r>
        <w:t>Le litige porte sur le droit de la recourante à une rente d’invalidité.</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3.2</w:t>
      </w:r>
    </w:p>
    <w:p>
      <w:r>
        <w:t>; 139 V 176 consid. 5.3 et les références). Aussi n’existe-t-il pas, en droit des assurances sociales, un principe selon lequel l’administration ou le juge devrait statuer, dans le doute, en faveur de l’assuré (ATF 135 V 39 consid. 6.1 et la référence).</w:t>
      </w:r>
    </w:p>
    <w:p>
      <w:r>
        <w:rPr>
          <w:b/>
        </w:rPr>
        <w:t>E. 3.3.1</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3.3.2</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w:t>
      </w:r>
    </w:p>
    <w:p>
      <w:r>
        <w:t>A/2983/2024 - 15/23 -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Á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w:t>
      </w:r>
    </w:p>
    <w:p>
      <w:r>
        <w:rPr>
          <w:b/>
        </w:rPr>
        <w:t>E. 3.3.3</w:t>
      </w:r>
    </w:p>
    <w:p>
      <w:r>
        <w:t>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(cf.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(cf.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(cf. ATF 141 V 281 consid. 4.4 et les références).</w:t>
      </w:r>
    </w:p>
    <w:p>
      <w:r>
        <w:rPr>
          <w:b/>
        </w:rPr>
        <w:t>E. 3.4</w:t>
      </w:r>
    </w:p>
    <w:p>
      <w:r>
        <w:t>Pour pouvoir calculer le degré d’invalidité, l’administration (ou le juge, s’il y a eu un recours) a besoin de documents qu’un médecin, éventuellement d’autres spécialistes, doivent lui fournir. La tâche du médecin consiste à porter un</w:t>
      </w:r>
    </w:p>
    <w:p>
      <w:r>
        <w:t>A/2983/2024 - 16/23 -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3.4.1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3.4.2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w:t>
      </w:r>
    </w:p>
    <w:p>
      <w:r>
        <w:t>A/2983/2024 - 17/23 - une instruction complémentaire sous la forme d'une nouvelle expertise médicale (ATF 143 V 269 consid. 6.2.3.2 et les références ; 135 V 465 consid. 4.4. et les références ; 125 V 351 consid. 3b/aa et les références).</w:t>
      </w:r>
    </w:p>
    <w:p>
      <w:r>
        <w:rPr>
          <w:b/>
        </w:rPr>
        <w:t>E. 3.4.3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3.4.4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w:t>
      </w:r>
    </w:p>
    <w:p>
      <w:r>
        <w:t>A/2983/2024 - 18/23 - pertinents pour remettre en cause les conclusions de l'expert (arrêt du Tribunal fédéral 8C_458/2023 du 18 décembre 2023 consid. 3.2 et la référence).</w:t>
      </w:r>
    </w:p>
    <w:p>
      <w:r>
        <w:rPr>
          <w:b/>
        </w:rPr>
        <w:t>E. 3.5.1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w:t>
      </w:r>
    </w:p>
    <w:p>
      <w:r>
        <w:rPr>
          <w:b/>
        </w:rPr>
        <w:t>E. 3.5.2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3.5.3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w:t>
      </w:r>
    </w:p>
    <w:p>
      <w:r>
        <w:t>A/2983/2024 - 19/23 - fédérale de la Confédération suisse du 18 avril 1999 (RS 101 - Cst ; SVR 2001 IV n. 10 p. 28 consid. 4b), la jurisprudence rendue sous l’empire de l’art. 4 aCst. étant toujours valable (ATF 124 V 90 consid. 4b ; 122 V 157 consid. 1d).</w:t>
      </w:r>
    </w:p>
    <w:p>
      <w:r>
        <w:rPr>
          <w:b/>
        </w:rPr>
        <w:t>E. 4</w:t>
      </w:r>
    </w:p>
    <w:p>
      <w:r>
        <w:t>En l’occurrence, la chambre de céans a estimé qu’une expertise judiciaire psychiatrique, comprenant un examen neuropsychologique, était nécessaire, le rapport d’expertise du Dr O______ n’emportant pas la conviction.</w:t>
      </w:r>
    </w:p>
    <w:p>
      <w:r>
        <w:rPr>
          <w:b/>
        </w:rPr>
        <w:t>E. 4.1</w:t>
      </w:r>
    </w:p>
    <w:p>
      <w:r>
        <w:t>Fondé sur toutes les pièces du dossier, comprenant une anamnèse complète, la description d’une journée-type et des plaintes de la recourante, un status clinique, des résultats de plusieurs tests et d’un examen neuropsychologique, un dosage de la médication antidépressive, des diagnostics clairs et une motivation convaincante de la capacité de travail de la recourante, le rapport d’expertise du Dr R______ répond aux réquisits jurisprudentiels précités pour qu’il lui soit reconnu une pleine valeur probante. L’expert judiciaire pose les diagnostics de trouble dépressif récurrent, épisode actuel moyen, d’état de stress post-traumatique et de facteurs psychiques ou comportementaux associés à des troubles ou des maladies classés ailleurs (fibromyalgie) et retient une incapacité de travail de 50% depuis le 1er décembre 2019.</w:t>
      </w:r>
    </w:p>
    <w:p>
      <w:r>
        <w:rPr>
          <w:b/>
        </w:rPr>
        <w:t>E. 4.2</w:t>
      </w:r>
    </w:p>
    <w:p>
      <w:r>
        <w:t>L’intimé admet la valeur probante de l’expertise judiciaire et conclut à l’octroi d’une demi-rente d’invalidité dès le 1er octobre 2022.</w:t>
      </w:r>
    </w:p>
    <w:p>
      <w:r>
        <w:rPr>
          <w:b/>
        </w:rPr>
        <w:t>E. 4.3</w:t>
      </w:r>
    </w:p>
    <w:p>
      <w:r>
        <w:t>La recourante conteste l’expertise du Dr R______, en faisant valoir, d’une part, que celui-ci s’est fondé sur les résultats de l’examen neuropsychologique du BEM pour évaluer ses limitations fonctionnelles, alors que cet examen est contesté, d’autre part, que les manifestations physiques de la douleur n’ont pas vraiment été prises en compte dans les limitations fonctionnelles.</w:t>
      </w:r>
    </w:p>
    <w:p>
      <w:r>
        <w:rPr>
          <w:b/>
        </w:rPr>
        <w:t>E. 4.3.1</w:t>
      </w:r>
    </w:p>
    <w:p>
      <w:r>
        <w:t>Contrairement à l’avis de la recourante, l’expert judiciaire ne s’est pas fondé sur l’examen neuropsychologique du BEM pour procéder à l’appréciation des limitations fonctionnelles. En effet, l’expert judiciaire constate tout d’abord que le raisonnement de l’expertise du Dr O______, consistant à nier toute symptomatologie dépressive en se fondant sur l’examen neuropsychologique du BEM, singulièrement sur la conclusion de celui-ci d’une majoration des plaintes de la recourante, ne peut pas être suivi. Il rappelle ensuite que l’examen neuropsychologique judiciaire a conclu à des tests de performance réussis, avec des conclusions différentes de celles de l’examen neuropsychologique du BEM et considère que le premier est probant. Certes, l’expert judiciaire, lorsqu’il relève que l’ampleur de certaines plaintes de la recourante doit être pondérée, cite notamment le fait que l’on ne peut exclure, au vu de l’examen neuropsychologique du BEM, que la recourante aurait eu, à ce moment-là, une tendance à majorer ses plaintes. Cependant, l’expert judiciaire motive également sa conclusion par le fait que lors de l’examen neuropsychologique judiciaire, la recourante s’est plainte de graves troubles</w:t>
      </w:r>
    </w:p>
    <w:p>
      <w:r>
        <w:t>A/2983/2024 - 20/23 - cognitifs, lesquels ne sont pas retrouvés à l’examen, seule une intensité légère des troubles étant constatée. Il relève que, même lorsque les tests de validation des performances sont réussis, comme c’est le cas de l’examen neuropsychologique judiciaire, il existe toujours un écart entre les plaintes de la recourante et les constats objectifs. En outre, la recourante a été capable de soutenir une longue et exigeante discussion psychiatrique, avec une bonne capacité à situer ses troubles dans le présent et le passé et sans afficher de ralentissement psychique. Finalement, l’expert judiciaire estime que si « la majoration ne domine pas le tableau clinique, on doit tenir compte d’une tendance à surinvestir certaines plaintes, ce qui ne remet pas en question l’entier du tableau clinique, mais amène la présente évaluation à pondérer l’estimation de la capacité de travail et de l’exigibilité médico-théorique ». Au vu de ce qui précède, l’expert judiciaire, s’il évoque l’examen neuropsychologique du BEM pour pondérer l’ampleur de certaines plaintes de la recourante, relève également que ce constat peut être déduit de l’examen neuropsychologique judiciaire et de ses propres constatations lors de l’entretien psychiatrique. Dans ces conditions, il y a lieu de retenir que son constat est étayé et probant et que, même si l’examen neuropsychologique du BEM devait être totalement écarté, comme demandé par la recourante, les conclusions de l’expert judiciaire resteraient cohérentes et motivées.</w:t>
      </w:r>
    </w:p>
    <w:p>
      <w:r>
        <w:rPr>
          <w:b/>
        </w:rPr>
        <w:t>E. 4.3.2</w:t>
      </w:r>
    </w:p>
    <w:p>
      <w:r>
        <w:t>La recourante critique également l’expertise judiciaire, dans la mesure où elle ne tiendrait pas compte de ses douleurs. La recourante ne peut être suivie. L’expert judiciaire a longuement discuté la prise en compte du tableau douloureux dans la pose des diagnostics (expertise judiciaire, pp. 27 ss). Il souligne que l’assurée explique que sa vie ne s’articule qu’autour de ses douleurs généralisées qui provoquent un sentiment très pesant de souffrance, de sorte que le critère d’un sentiment de détresse, nécessaire pour retenir un trouble du registre somatoforme est clairement réalisé. Il relève ensuite que dans la logique de la CIM-10, le syndrome douloureux somatoforme persistant n’est posé que par exclusion, et n’est pas retenu si un diagnostic somatique est posé, ce qui est le cas pour la recourante, laquelle présente une fibromyalgie. L’expert judiciaire relève cependant que cette distinction entre fibromyalgie et syndrome douloureux somatoforme persistant est discutable, ces deux affections étant, pour certains auteurs, considérées comme similaires. Finalement, il explique qu’il retient un diagnostic de facteurs psychologiques ou comportements associés à des troubles ou de maladie classés ailleurs (fibromyalgie), dès lors qu’un diagnostic de fibromyalgie a été posé. La symptomatologie douloureuse a ainsi été prise en compte dans les diagnostics posés par l’expert judiciaire.</w:t>
      </w:r>
    </w:p>
    <w:p>
      <w:r>
        <w:t>A/2983/2024 - 21/23 - Tel est également le cas s’agissant des limitations fonctionnelles. Les douleurs sont en effet signalées par l’expert judiciaire, qui mentionne que l’intentionnalité est limitée par la fatigue et l’envahissement de la sphère psychique par les douleurs (expertise judiciaire, p. 32), que la capacité à exploiter les ressources professionnelles est abaissée en raison de la fatigue et de l’impact du vécu douloureux dans les actes professionnels, que les capacités d’endurance sont amoindries par la fatigue et les douleurs (expertise judiciaire, p. 33) et que la capacité de relation avec les proches est diminuée, l’expert judiciaire citant, à cet égard, un enkystement de la recourante dans une symptomatologie douloureuse (expertise judiciaire, p. 34). Finalement, l’expert judiciaire conclut que les plaintes de la recourante peuvent être objectivées, même si leur ampleur mérite une pondération, en fonction des constatations cliniques actuelles, des facteurs contextuels et des résultats qui ressortent de l’examen neuropsychologique judiciaire (expertise judiciaire, p. 35), étant relevé que les plaintes de la recourante sont, au premier plan, celles d’une symptomatologie douloureuse, mentionnées par l’expert judiciaire (expertise judiciaire, p. 16). Au demeurant, les douleurs évoquées par la recourante ont bien été prises en compte par l’expert judiciaire. L’analyse des indicateurs de gravité, à laquelle l’expert judiciaire a procédé, permet également de comprendre que le processus de somatisation, lequel fait référence à la symptomatologie douloureuse, a bien été pris en compte et évalué au regard de la cohérence et des ressources de la recourante (expertise judiciaire, pp. 36 ss). À l’issue de cette évaluation, l’expert judiciaire estime qu’il est nécessaire de s’écarter de la seule position subjective de la recourante (et de la position de ses thérapeutes) qui irait dans le sens d’une incapacité de travail complète (expertise judiciaire, p. 36). Au vu de ce qui précède, il y a lieu de constater que le tableau douloureux de la recourante a été considéré et évalué par l’expert judiciaire, lequel a estimé qu’en tenant compte de toutes les pathologies psychiatriques, la capacité de travail de la recourante était limitée, dans toute activité, à un taux de 50% dès le 1er décembre 2019. En conséquence et par anticipation des preuves, il sera renoncé à l’ordonnance d’un complément d’expertise auprès du Dr R______, voire à son audition.</w:t>
      </w:r>
    </w:p>
    <w:p>
      <w:r>
        <w:rPr>
          <w:b/>
        </w:rPr>
        <w:t>E. 4.3.3</w:t>
      </w:r>
    </w:p>
    <w:p>
      <w:r>
        <w:t>Enfin, s’agissant de l’aspect somatique, réservé par l’ordonnance d’expertise du 16 avril 2025, aucun élément médical ne permet de s’écarter de l’expertise rhumatologique du BEM, étant constaté qu’un diagnostic de fibromyalgie a été posé par le Dr N______, et que l’impact des douleurs de cette affection sur la capacité de travail de la recourante a fait l’objet de l’expertise judiciaire psychiatrique. Par ailleurs, les médecins traitants de la recourante ont fait principalement état, du point de vue somatique, d’une aggravation de la fibromyalgie (rapports de la Dre J______ des 21 février 2022 et 3 juillet 2023, du Dr K______ du 13 décembre 2023, de la clinique de la douleur de l’hôpital de La Tour des 7 décembre 2023 et 15 novembre 2024 et de la Dre Q______ du 29</w:t>
      </w:r>
    </w:p>
    <w:p>
      <w:r>
        <w:t>A/2983/2024 - 22/23 - novembre 2024), dont l’impact a été pris en compte par l’expertise judiciaire psychiatrique et n’ont pas évoqué d’autres diagnostics rhumatologiques.</w:t>
      </w:r>
    </w:p>
    <w:p>
      <w:r>
        <w:rPr>
          <w:b/>
        </w:rPr>
        <w:t>E. 4.4</w:t>
      </w:r>
    </w:p>
    <w:p>
      <w:r>
        <w:t>Au demeurant, au vu de l’expertise judiciaire psychiatrique, de l’appréciation du SMR du 23 avril 2024 et des conclusions de l’expertise rhumatologique du BEM, la recourante présente une capacité de travail de 50% dans toute activité dès le 1er décembre 2019. La recourante estime encore que son ancienne activité dans le nettoyage ou une activité lourde physiquement n’est pas exigible, ce que les médecins avaient par le passé admis. À cet égard, la chambre de céans avait certes retenu, dans son arrêt du 20 mars 2017 (ATAS/211/017), que l’activité de femme de ménage n’était plus exigible, mais ce constat reposait sur les avis de la Dr E______ des 9 août et 21 octobre 2016, laquelle avait posé le diagnostic de tendinopathie de la coiffe des rotateurs, qui motivait l’incapacité à exercer une activité de femme de ménage. Or, ce diagnostic n’est plus repris par l’expert rhumatologue et les médecins traitants de la recourante, de sorte que l’exigibilité de l’activité habituelle, à un taux de 50%, depuis le 1er décembre 2019 n’est pas critiquable. Elle l’est d’autant moins que la recourante a exercé, postérieurement à l’arrêt précité, dans le cadre de la mesure professionnelle octroyée par l’intimé, une activité de nettoyeuse et à l’issue des mesures, comme femme de ménage. En conséquence, la recourante présente, depuis le 1er décembre 2019, une incapacité de travail de 50% dans toute activité, de sorte que le degré d’invalidité est de 50% à l’issue du délai de carence, le 1er décembre 2020, étant précisé que le degré d’invalidité se confond avec le taux d’incapacité de travail, vu l’exigibilité de l’ancienne activité. Vu la demande de prestations du 5 avril 2022, le droit à la rente d’invalidité nait six mois plus tard, le 1er octobre 2022 (art. 29 al. 1 LAI).</w:t>
      </w:r>
    </w:p>
    <w:p>
      <w:r>
        <w:rPr>
          <w:b/>
        </w:rPr>
        <w:t>E. 5</w:t>
      </w:r>
    </w:p>
    <w:p>
      <w:r>
        <w:t>Partant, le recours sera partiellement admis, la décision de l’intimé du 13 août 2024 annulée et il sera dit que la recourante a droit à une rente d’invalidité de 50% d’une rente entière (art. 28b al. 2 LAI) dès le 1er octobre 2022. Pour le surplus, la recourante obtenant partiellement gain de cause, une indemnité de CHF 4'000.-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 bis LAI).</w:t>
      </w:r>
    </w:p>
    <w:p>
      <w:r>
        <w:t>A/2983/2024 - 23/23 -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