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ATAS/832/2019 vom 16. Juli 2018</w:t>
      </w:r>
    </w:p>
    <w:p>
      <w:r>
        <w:t>GE Cour de justice, 2018-07-16, FR</w:t>
      </w:r>
    </w:p>
    <w:p>
      <w:r>
        <w:rPr>
          <w:b/>
        </w:rPr>
        <w:t xml:space="preserve">Quelle: </w:t>
      </w:r>
      <w:r>
        <w:t>https://mcp.opencaselaw.ch/entscheid/ge_gerichte_ATAS_832_2019</w:t>
      </w:r>
    </w:p>
    <w:p>
      <w:r>
        <w:t>FR: GE_GERICHTE ATAS/832/2019 du 16 juillet 2018</w:t>
      </w:r>
    </w:p>
    <w:p>
      <w:r>
        <w:t>IT: GE_GERICHTE ATAS/832/2019 del 16 luglio 2018</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w:t>
      </w:r>
    </w:p>
    <w:p>
      <w:r>
        <w:rPr>
          <w:b/>
        </w:rPr>
        <w:t>E. 3</w:t>
      </w:r>
    </w:p>
    <w:p>
      <w:r>
        <w:t>La question de principe qui se pose dans la procédure A/4602/2018 - soit celle de savoir qui, du TAF ou de la Cour cantonale, est compétent pour connaître du recours de l'intéressé contre la décision de l'IC LAMal - doit être tranchée par le TAF dans un dossier similaire, pendant devant sa Cour III, par une décision formelle qui pourrait faire l'objet d'un recours auprès du Tribunal fédéral. Une fois tranchée la question de la compétence, il conviendra encore d'attendre que la juridiction compétente ait tranché le fond du litige, soit ait statué sur le recours de l'intéressé.</w:t>
      </w:r>
    </w:p>
    <w:p>
      <w:r>
        <w:rPr>
          <w:b/>
        </w:rPr>
        <w:t>E. 4</w:t>
      </w:r>
    </w:p>
    <w:p>
      <w:r>
        <w:t>Dès lors, dans la mesure où l'issue du litige pendant devant le TAF, respectivement devant la juridiction de céans, par rapport au recours de l'intéressé contre la décision de l'IC LAMal, pourrait avoir une incidence sur l'issue de la présente cause, il convient de suspendre également celle-ci, jusqu'à droit connu sur le recours de l'intéressé du 24 septembre 2018.</w:t>
      </w:r>
    </w:p>
    <w:p>
      <w:r>
        <w:t>A/2731/2019 - 5/5 -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