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ATAS/832/2014 vom 30. Juni 2014</w:t>
      </w:r>
    </w:p>
    <w:p>
      <w:r>
        <w:t>GE Cour de justice, 2014-06-30, FR</w:t>
      </w:r>
    </w:p>
    <w:p>
      <w:r>
        <w:rPr>
          <w:b/>
        </w:rPr>
        <w:t xml:space="preserve">Quelle: </w:t>
      </w:r>
      <w:r>
        <w:t>https://mcp.opencaselaw.ch/entscheid/ge_gerichte_ATAS_832_2014</w:t>
      </w:r>
    </w:p>
    <w:p>
      <w:r>
        <w:t>FR: GE_GERICHTE ATAS/832/2014 du 30 juin 2014</w:t>
      </w:r>
    </w:p>
    <w:p>
      <w:r>
        <w:t>IT: GE_GERICHTE ATAS/832/2014 del 30 giugno 2014</w:t>
      </w:r>
    </w:p>
    <w:p>
      <w:pPr>
        <w:pStyle w:val="Heading2"/>
      </w:pPr>
      <w:r>
        <w:t>Erwägungen</w:t>
      </w:r>
    </w:p>
    <w:p>
      <w:r>
        <w:rPr>
          <w:b/>
        </w:rPr>
        <w:t>E. 1</w:t>
      </w:r>
    </w:p>
    <w:p>
      <w:r>
        <w:t>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formes et délai prévus par la loi, le recours est recevable (art. 38 et 56 à 61 LPGA).</w:t>
      </w:r>
    </w:p>
    <w:p>
      <w:r>
        <w:t>A/786/2014 - 8/14 -</w:t>
      </w:r>
    </w:p>
    <w:p>
      <w:r>
        <w:rPr>
          <w:b/>
        </w:rPr>
        <w:t>E. 4</w:t>
      </w:r>
    </w:p>
    <w:p>
      <w:r>
        <w:t>Le litige porte sur l’IPAI allouée au recourant, plus particulièrement sur le taux de celle-ci.</w:t>
      </w:r>
    </w:p>
    <w:p>
      <w:r>
        <w:rPr>
          <w:b/>
        </w:rPr>
        <w:t>E. 5</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soit une atteinte dommageable, le caractère soudain de l'atteinte, le caractère involontaire de l'atteinte, le facteur extérieur de l'atteinte, et le caractère extraordinaire du facteur extérieur. Il suffit que l'un d'entre eux fasse défaut pour que l'événement ne puisse pas être qualifié d'accident (Arrêt du Tribunal fédéral 8C_520/2009 du 24 février 2010 consid. 2 ; ATF 129 V 402 consid. 2.1 et les références).</w:t>
      </w:r>
    </w:p>
    <w:p>
      <w:r>
        <w:rPr>
          <w:b/>
        </w:rPr>
        <w:t>E. 6</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w:t>
      </w:r>
    </w:p>
    <w:p>
      <w:r>
        <w:t>A/786/2014 - 9/14 -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 voir aussi ATF 125 II 169 consid. 2d).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b)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Arrêt du Tribunal administratif fédéral U 134/03 du 12 janvier 2004 consid. 5.2).</w:t>
      </w:r>
    </w:p>
    <w:p>
      <w:r>
        <w:rPr>
          <w:b/>
        </w:rPr>
        <w:t>E. 7</w:t>
      </w:r>
    </w:p>
    <w:p>
      <w:r>
        <w:t>Depuis le 1er janvier 2008, le montant maximum du gain assuré s’élève à CHF 126'000.- par an et CHF 346.- par jour (art. 22 al. 1 OLAA). Entre le 1er janvier 2000 et le 31 décembre 2007, ce montant s'élevait à CHF 106'800.- par an et CHF 293.- par jour (art. 22 al. 1 aOLAA ; RO 1998 2588).</w:t>
      </w:r>
    </w:p>
    <w:p>
      <w:r>
        <w:t>A/786/2014 - 10/14 - En cas de rechute ou de séquelles tardives, la base de calcul déterminante pour le calcul de l'indemnité pour atteinte à l'intégrité due est le montant maximum du gain annuel assuré au jour de l'accident (ATF 127 V 456 consid. 4).</w:t>
      </w:r>
    </w:p>
    <w:p>
      <w:r>
        <w:rPr>
          <w:b/>
        </w:rPr>
        <w:t>E. 8</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la table 8 applicable aux atteintes à l'intégrité pour les complications psychiques des lésions cérébrales, le taux est de 10% pour des atteintes minimes à modérées et de 20% pour des atteintes modérées.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administratif fédéral U 173/00 du 22 septembre 2000 consid. 2 ; RAMA 1998 p. 602). Par ailleurs, une révision de l'indemnité n’est possible qu’en cas exceptionnel, si l’aggravation est importante et n’était pas prévisible (art. 36 al. 4 2ème phrase OLAA; cf. ATF non publié 8C_459/2008 du 4 février 2009, consid. 2.1.3; ATFA non publié U 124/01 du 22 novembre 2001, consid. 1b). Elle doit être d'au moins 5% de plus que ce qui était pronostiqué (RAMA 1991 p. 306).</w:t>
      </w:r>
    </w:p>
    <w:p>
      <w:r>
        <w:t>A/786/2014 - 11/14 -</w:t>
      </w:r>
    </w:p>
    <w:p>
      <w:r>
        <w:rPr>
          <w:b/>
        </w:rPr>
        <w:t>E. 9</w:t>
      </w:r>
    </w:p>
    <w:p>
      <w:r>
        <w:t>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Selon la jurisprudence, il y a lieu d'additionner le pour cent correspondant à chacune des atteintes, même celles qui n'atteignent pas 5% (ATF 116 V 156 consid. 3b; RAMA 1988 p. 230).</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w:t>
      </w:r>
    </w:p>
    <w:p>
      <w:r>
        <w:t>A/786/2014 - 12/14 -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se fondant sur l’expertise du Dr I_____ du 5 juillet 2011, l’intimée a octroyé au recourant une IPAI de CHF 16'020.-, correspondant à 15% du montant maximum du gain annuel assuré à l’époque de l’accident, soit CHF 106'800.-. Dans son expertise, le Dr I_____ a considéré que les douleurs loco-régionales au niveau du site post-opératoire dans la région pariéto-temporale droite, les discrets troubles cognitifs, les troubles de l’olfaction ainsi qu’un certain degré de vulnérabilité au stress étaient en rapport avec l’accident du 11 décembre 2007. Il ressortait du dossier du recourant que le syndrome radiculaire C8 gauche était connu depuis 1997 et n’avait probablement pas totalement été résorbé, contrairement à ce qu’indiquait l’assuré. Il était fort probable qu’un tel traumatisme se solde par une guérison totale. Il restait une possibilité qu’il ait existé une aggravation de cet état dans le cadre de l’accident de 2007. L’élément très atypique dans ce contexte était la survenance tardive de l’atteinte radiculaire, soit près de six mois après l’accident, selon les allégations de l’assuré, et sans changement aux investigations neuroradiologiques effectuées. Sa guérison suivait son cours normal et les troubles l’affectant s’amélioraient lentement. Compte tenu de ces éléments, les troubles neuropsychologiques s’intégraient dans une atteinte minime à modérée. Il existait aussi une discrète diminution de l’olfaction. Ces éléments consistaient en une atteinte à l’intégrité de 15%. La Cour de céans constate que cette expertise est en tout point conforme aux réquisits jurisprudentiels relatifs à la valeur probante. Elle se fonde en effet sur un</w:t>
      </w:r>
    </w:p>
    <w:p>
      <w:r>
        <w:t>A/786/2014 - 13/14 - examen clinique du recourant, sur l'étude approfondie de son dossier médical, relate ses plaintes, contient une anamnèse complète, des diagnostics clairs et des conclusions motivées. L'appréciation du Dr I_____ permet de comprendre quelles ont été les conséquences de l’accident subi par le recourant en décembre 2007 et quels sont les troubles qui l’affectent à ce jour. Les autres documents médicaux du dossier, en particulier le rapport du Dr D_____ du 5 novembre 2008, corroborent son appréciation de l'état de santé du recourant. Il convient d'ailleurs de relever que rien au dossier ne permet de remettre en cause les conclusions de l'expertise. En effet, aucun des rapports soumis à la chambre de céans ne la contredit ni ne fait état d’éléments objectivement vérifiables qui auraient été ignorés par le Dr I_____ et qui seraient suffisamment pertinents pour remettre en cause ses conclusions. Certes, à teneur du rapport du Dr D_____, l’IPAI devrait être de 20%. Toutefois, ledit rapport a été élaboré moins d’une année après l’accident du recourant, alors que son état de santé n’était pas encore stabilisé, ce que le Dr E_____ a relevé avec raison. Depuis novembre 2008, le recourant a d’ailleurs subi une opération et bénéficié d’un suivi médical, son état de santé s’étant amélioré lentement mais de manière constante. Enfin, le taux de 15% (10% pour l’atteinte neuropsychologique et 5% pour la diminution de l’olfaction) a été retenu conformément au cadre fixé par l’art 36 OLAA. Le recourant soutient quant à lui qu’une IPAI de 25% devrait lui être octroyée. Il n’apporte toutefois aucun élément ou document médical permettant à la chambre de céans de s’écarter des conclusions du Dr I_____. Compte tenu de la valeur probante de l’expertise du Dr I_____, la tenue d’une expertise judiciaire ou d’un quelconque autre examen médical du recourant n’est pas nécessaire. En ce qui concerne les conclusions du recourant relatives à la garantie de prise en charge par l’intimée des suites et conséquences de l’accident de décembre 2007, la chambre de céans n’est pas en mesure d’y donner suite. Elle ne peut que rappeler que la jurisprudence prévoit la révision de l’IPAI, exceptionnellement, si l’aggravation est importante (au moins 5% de plus que ce qui était pronostiqué) et n’était pas prévisible. Ainsi, en cas d’aggravation de son état de santé, il appartiendra au recourant de s’adresser à l’intimée pour que son cas soit examiné. D’ailleurs, l’intimée a attiré son attention sur ces démarches dans le cadre de sa décision du 25 octobre 2010.</w:t>
      </w:r>
    </w:p>
    <w:p>
      <w:r>
        <w:rPr>
          <w:b/>
        </w:rPr>
        <w:t>E. 12</w:t>
      </w:r>
    </w:p>
    <w:p>
      <w:r>
        <w:t>Au vu de ce qui précède, le recours est rejeté. Pour le surplus, la procédure est gratuite (art. 61 let. a LPGA).</w:t>
      </w:r>
    </w:p>
    <w:p>
      <w:r>
        <w:t>A/786/2014 - 14/14 -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