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ATAS/832/2009 vom 23. Juni 2009</w:t>
      </w:r>
    </w:p>
    <w:p>
      <w:r>
        <w:t>GE Cour de justice, 2009-06-23, FR</w:t>
      </w:r>
    </w:p>
    <w:p>
      <w:r>
        <w:rPr>
          <w:b/>
        </w:rPr>
        <w:t xml:space="preserve">Quelle: </w:t>
      </w:r>
      <w:r>
        <w:t>https://mcp.opencaselaw.ch/entscheid/ge_gerichte_ATAS_832_2009</w:t>
      </w:r>
    </w:p>
    <w:p>
      <w:r>
        <w:t>FR: GE_GERICHTE ATAS/832/2009 du 23 juin 2009</w:t>
      </w:r>
    </w:p>
    <w:p>
      <w:r>
        <w:t>IT: GE_GERICHTE ATAS/832/2009 del 23 giugno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Sur le fond, l’art. 28 al. 2 LAI (dont le contenu est le même que celui de l’ancien art. 28 al. 1er LAI [aLAI]) dispose que l’assuré a droit à une rente entière s’il est invalide à 70% au moins, à trois 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1er LPGA et 4 al. 1er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(voir l’art. 7 al. 1er et al. 2, 1ère phrase LPGA, dans sa teneur en vigueur depuis le 1er janvier 2008). La notion d’invalidité, au sens du droit des assurances sociales, est donc une notion économique et non médicale ; ce sont les conséquences économiques objectives de l’incapacité fonctionnelle qu’il importe d’évaluer (voir ATF 110 V 275 consid. 4a, 105 V 207 consid. 2). Les atteintes à la santé psychique peuvent, comme les atteintes physiques, entraîner une invalidité au sens de l’art. 4 al. 1er LAI en liaison avec l’art. 8 LPGA. On ne considère cependant pas comme des conséquences d’un état psychique maladif, donc pas comme des affections à prendre en charge par l’assurance-invalidité, les diminutions de la capacité de gain que l’assuré pourrait empêcher en faisant preuve de bonne volonté. Il n’y a en effet incapacité de gain que si l’atteinte à la santé n’est pas objectivement surmontable (cf. art. 7 al. 2, 2e phrase LPGA) ; la mesure de ce qui est exigible doit donc être déterminée aussi objectivement que possible (ATF 102 V 165 ; voir aussi ATF 127 V 294 consid. 4c in fine).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w:t>
      </w:r>
    </w:p>
    <w:p>
      <w:r>
        <w:t>A/3728/2008 - 12/18 -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Par ailleurs, s’agissant des troubles dépressifs, il y a lieu d’observer que selon la doctrine médicale (cf. notamment DILLING/MOMBOUR/SCHMIDT [Hrsg.], Internationale Klassifikation psychischer Störungen, ICD-10 Kapitel V [F], 4e édition, p. 191) sur laquelle s’appuie le Tribunal fédéral (TF), les états dépressifs ne constituent en principe pas une comorbidité psychiatrique grave et durable à un trouble somatoforme douloureux (ou à une fibromyalgie), dans la mesure où ils ne sont en règle générale qu’une manifestation réactive qui ne doit pas faire l’objet d’un diagnostic séparé (ATF 130 V 352 consid. 3.3.1 in fine ; MEYER/BLASER, op. cit., p. 81, note 135).</w:t>
      </w:r>
    </w:p>
    <w:p>
      <w:r>
        <w:t>A/3728/2008 - 13/18 -</w:t>
      </w:r>
    </w:p>
    <w:p>
      <w:r>
        <w:rPr>
          <w:b/>
        </w:rPr>
        <w:t>E. 7</w:t>
      </w:r>
    </w:p>
    <w:p>
      <w:r>
        <w:t>Pour pouvoir calculer le degré d’invalidité, l’administration (ou le juge, s’il y a eu un recours) a besoin de documents que le médecin, éventuellement aussi d’autres spécialistes, doivent lui fournir. La tâche du médecin consiste en effet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114 V 314 consid. 3c, 105 V 158 consid. 1). Selon le principe de libre appréciation des preuves, déjà évoqué,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particulier, s’agissant des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Relevons encore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les avis médicaux des docteurs H____________, orthopédiste, et E____________, rhumatologue, ainsi que des docteurs B____________ et</w:t>
      </w:r>
    </w:p>
    <w:p>
      <w:r>
        <w:t>A/3728/2008 - 14/18 - D____________, psychiatres, et du docteur C____________, médecin traitant de la recourante, diffèrent quelque peu quant aux conclusions auxquels ils aboutissent, de sorte qu’il convient d’en examiner brièvement les mérites respectifs. Sur le plan somatique, l’expertise conduite par le docteur H____________ se fonde sur des examens cliniques étendus, sur une anamnèse complète, les plaintes exprimées par l’assurée lors de la consultation étant prises en considération, et sur une description précise des interférences médicales, de sorte que le diagnostic posé, qui exclut toute pathologie physique, est cohérent et digne de foi. Cet avis correspond en outre, s’agissant des troubles somatiques, aux conclusions de l’examen neurologique effectué par le docteur F____________ et de l’examen rhumatologique réalisé par le docteur E____________. D’autre part, il n’apparaît pas que le docteur C____________ ait procédé à l’étude fouillée, sur la base d’examens complets, requise par la jurisprudence rappelée plus haut, pour fonder un avis revêtu d’une force probante suffisante. En outre, il y a lieu de tenir compte du fait qu’en sa qualité de médecin traitant de la recourante, ce praticien a tissé une relation de confiance étroite avec celle-ci, susceptible d’influencer sensiblement le contenu de ses propos. Partant, il convient de faire prévaloir l’avis médical, au demeurant unanime, selon lequel, sur le plan somatique, la capacité de travail de la recourante présente éventuellement des limitations fonctionnelles qui ne sont pas le résultat d’une quelconque pathologie, mais des douleurs éprouvées. Sur le plan psychique, le rapport d’expertise établi le 12 juillet par le docteur B____________ montre que ce praticien a procédé à un examen objectif de la situation personnelle et clinique de la recourante, qu’il a rapporté les constatations qu’il avait faites de façon neutre et circonstanciée, et les conclusions auxquelles il aboutit s’appuient sur des considérations médicales pertinentes. Selon ce praticien, il ressort de l’anamnèse, de l’examen clinique, de l’étude du dossier et des rapports médicaux que la recourante ne présentait pas de dysfonctionnement durable des conduites et de l’expérience vécue, ni de déviance de la norme donnant lieu à une altération du fonctionnement personnel et social ou encore à une souffrance significative. Ces symptômes présents depuis plusieurs années et de faible intensité permettent de retenir le diagnostic d’épisode dépressif léger. Les avis médicaux exprimés par le docteur D____________, qui retient le diagnostic de fibromyalgie, ne présentent en revanche pas les mêmes garanties. En particulier, cette praticienne n’a pas précisé en quoi les constatations objectives et subjectives recueillies devaient avoir pour conséquence, pour la recourante, une incapacité totale d’exercer quelque activité que ce soit. Au demeurant, le docteur D____________ s’est bornée, sur ce point, à déclarer qu’une autre activité, adaptée aux limitations constatées, n’avait pas été envisagée. Force est donc de constater</w:t>
      </w:r>
    </w:p>
    <w:p>
      <w:r>
        <w:t>A/3728/2008 - 15/18 - que l’incapacité totale de gain à laquelle conclut cette praticienne n’est pas, au vu de l’état de santé de la recourante, estimé tour à tour en amélioration et stationnaire, motivée à satisfaction de droit. Pour ce qui est des résultats du test de Beck recueillis par les docteurs K____________ et L___________, leur totale absence de valeur diagnostique en l’absence de tout autre examen complémentaire commande de ne leur accorder aucune valeur probante. Au vu de ce qui précède, force est de constater l’absence d’une comorbidité psychiatrique importante par sa gravité et son acuité. S’il est établi que la recourante présente des troubles douloureux depuis février 2007, troubles dont la durée ne laisse pas d’inquiéter les praticiens consultés, il apparaît également qu’ils n’ont pas, au regard des principes rappelés plus haut, la gravité et l’acuité exigée par la jurisprudence pour en établir le caractère invalidant. Rien n’indique en effet que la recourante souffre de graves épisodes dépressifs, qu’elle ait eu à subir une perte d’intégration sociale dans toutes les manifestations de sa vie ou l’échec de tous traitements ambulatoires ou stationnaires prodigués lege artis, ou encore qu’elle présente un état psychique cristallisé, sans évolution possible sur le plan thérapeutique. Partant, même à admettre qu’elle soit atteinte de fibromyalgie, force est de constater que la recourante n’a pas rendu vraisemblable que cette affection ou ses fâcheux effets ne peuvent plus, en l’état, être surmontés par un effort de volonté raisonnablement exigible. En conséquence, au degré de vraisemblance prépondérante requis, il s’impose de considérer que la synthèse proposée par les médecins du SMR, selon laquelle la capacité de gain de la recourante est, du seul fait des douleurs dont elle se plaint, de 70% dans l’activité qu’elle exerçait, ou de 75% dans une activité mieux adaptée, paraît tout à fait convaincante.</w:t>
      </w:r>
    </w:p>
    <w:p>
      <w:r>
        <w:rPr>
          <w:b/>
        </w:rPr>
        <w:t>E. 8</w:t>
      </w:r>
    </w:p>
    <w:p>
      <w:r>
        <w:t>L’art. 28a al. 1er LAI (voir aussi l’art. 28 al. 2 aLAI) dispose que l’art. 16 LPGA s’applique à l’évaluation de l’invalidité des assurés exerçant (ou ayant exercé) une activité lucrative. Cette dernière disposition prévoit que, pour évaluer le taux d’in- 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w:t>
      </w:r>
    </w:p>
    <w:p>
      <w:r>
        <w:t>A/3728/2008 - 16/18 -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consid. 3.2), que le résultat exact du calcul du degré d’invalidité doit être arrondi au chiffre en pour cent supérieur ou inférieur selon les règles applicables en mathématiques.</w:t>
      </w:r>
    </w:p>
    <w:p>
      <w:r>
        <w:rPr>
          <w:b/>
        </w:rPr>
        <w:t>E. 9</w:t>
      </w:r>
    </w:p>
    <w:p>
      <w:r>
        <w:t>En l’espèce, le salaire auquel pouvaient prétendre les femmes effectuant des activités simples et répétitives dans le secteur privé était de 4'019 fr. par mois en 2006 (tableau TA1, niveau de qualification 4), soit 4'088 fr. 85 en 2007 en raison de l’évolution des salaires nominaux (indice 2006 : 2'014 ; indice 2007 : 2'049). Ce salaire hypothétique tient compte d’un large éventail d’activités légères existant sur le marché du travail, qui ne nécessitent pas de formation particulière, dont un nombre suffisant intègre le handicap et les limitations fonctionnelles de la recourante, et représente, étant donné que les salaires bruts standardisés sont fondés sur un horaire de travail de quarante heures par semaine, soit une durée hebdomadaire inférieure à la moyenne usuelle dans les entreprises en 2007 (41.7 heures), un revenu de 4'262 fr. 60 par mois (4'088.85 x 41.7 ÷ 40), ou 51'151 fr. 45 par année en 2007 (4'262.60 x 12). La pratique montre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la recourante est nécessairement désavantagée par sa nationalité espagnole. D’autre part, âgée de cinquante-deux ans au moment de la décision querellée, elle peut certes faire valoir</w:t>
      </w:r>
    </w:p>
    <w:p>
      <w:r>
        <w:t>A/3728/2008 - 17/18 - des années d’expérience, mais il ne faut pas perdre de vue qu’elle exerçait une activité qui est désormais partiellement proscrite, et que l’éventail des travaux légers qu’elle peut réaliser, un peu moins large que celui d’une employée parfaitement apte au travail, a pour conséquence qu’elle doit, de ce fait, vraisemblablement compter avec un salaire légèrement inférieur à la moyenne (cf. ATFA du 28 juillet 1999, publié in VSI 1999 p. 246). Enfin, mis à part le syndrome douloureux, qui entraîne des limitations fonctionnelles à hauteur de 25%, la recourante est en bonne santé. Partant, il se justifie de considérer qu’elle était en mesure d’exploiter sa capacité résiduelle de travail avec des chances de gain encore inférieures de 5% à la moyenne au regard des circonstances qui lui sont particulières. Il convient par conséquent de retenir qu’elle était en mesure de générer un revenu d’invalide de 35'806 fr. en 2007 (70% de 51'151.45). Selon les attestations de ses anciens employeurs, la recourante pouvait, sans invalidité, prétendre au versement d’un salaire annuel brut de 36'296 fr. en 2007 ([2'698 x 2'049 ÷ 2'014] + 30'583). Il résulte, de la comparaison des revenus ainsi déterminés pour l’année 2007, un taux d’invalidité de 1.35% ([36'296 – 35'806] ÷ 36'296 x 100), arrondi à 1%. Ce taux ne donne pas droit au versement d’une rente d’invalidité, de sorte que le recours devra également être rejeté sur ce point.</w:t>
      </w:r>
    </w:p>
    <w:p>
      <w:r>
        <w:rPr>
          <w:b/>
        </w:rPr>
        <w:t>E. 10</w:t>
      </w:r>
    </w:p>
    <w:p>
      <w:r>
        <w:t>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de la recourante, qui succombe.</w:t>
      </w:r>
    </w:p>
    <w:p>
      <w:r>
        <w:t>A/3728/2008 - 18/18 -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