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ATAS/831/2018 vom 25. September 2018</w:t>
      </w:r>
    </w:p>
    <w:p>
      <w:r>
        <w:t>GE Cour de justice, 2018-09-25, FR</w:t>
      </w:r>
    </w:p>
    <w:p>
      <w:r>
        <w:rPr>
          <w:b/>
        </w:rPr>
        <w:t xml:space="preserve">Quelle: </w:t>
      </w:r>
      <w:r>
        <w:t>https://mcp.opencaselaw.ch/entscheid/ge_gerichte_ATAS_831_2018</w:t>
      </w:r>
    </w:p>
    <w:p>
      <w:r>
        <w:t>FR: GE_GERICHTE ATAS/831/2018 du 25 septembre 2018</w:t>
      </w:r>
    </w:p>
    <w:p>
      <w:r>
        <w:t>IT: GE_GERICHTE ATAS/831/2018 del 25 settembre 2018</w:t>
      </w:r>
    </w:p>
    <w:p>
      <w:pPr>
        <w:pStyle w:val="Heading2"/>
      </w:pPr>
      <w:r>
        <w:t>Erwägungen</w:t>
      </w:r>
    </w:p>
    <w:p>
      <w:r>
        <w:rPr>
          <w:b/>
        </w:rPr>
        <w:t>E. 1</w:t>
      </w:r>
    </w:p>
    <w:p>
      <w:r>
        <w:t>Conformément à l'art. 134 al. 1 let. b de la loi sur l'organisation judiciaire du 26 septembre 2010 (LOJ - E 2 05) en vigueur depuis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w:t>
      </w:r>
    </w:p>
    <w:p>
      <w:r>
        <w:t>A/1492/2018 - 3/7 - Par ailleurs, en matière de prévoyance professionnelle, le for de l’action est au siège ou au domicile suisse du défendeur ou au lieu de l’exploitation dans laquelle l’assuré a été engagé (art. 73 al. 3 LPP), soit Genève en l’espèce. La compétence de la chambre de céans pour juger du cas d’espèce est ainsi établie.</w:t>
      </w:r>
    </w:p>
    <w:p>
      <w:r>
        <w:rPr>
          <w:b/>
        </w:rPr>
        <w:t>E. 2</w:t>
      </w:r>
    </w:p>
    <w:p>
      <w:r>
        <w:t>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C'est pourquoi, en matière de prévoyance professionnelle, le juge ne peut pas renvoyer l'affaire aux organes de l'assurance pour complément d'instruction et nouveau prononcé (ATF 117 V 237 consid. 2 ; 115 V 224 et 239 ; 114 V 102 consid. 1b ; 113 V 198 consid. 2 ; 112 Ia 180 consid. 2). En l'espèce, la demande respecte la forme prévue à l'art. 89B de la loi sur la procédure administrative du 12 septembre 1985 (LPA ; RS/GE - E 5 10), de sorte qu’elle est recevable.</w:t>
      </w:r>
    </w:p>
    <w:p>
      <w:r>
        <w:rPr>
          <w:b/>
        </w:rPr>
        <w:t>E. 3</w:t>
      </w:r>
    </w:p>
    <w:p>
      <w:r>
        <w:t>Le litige porte sur le bien-fondé de la demande en paiement des cotisations échues, des frais et des intérêts déposée par la Fondation auprès de la chambre de céans.</w:t>
      </w:r>
    </w:p>
    <w:p>
      <w:r>
        <w:rPr>
          <w:b/>
        </w:rPr>
        <w:t>E. 4</w:t>
      </w:r>
    </w:p>
    <w:p>
      <w:r>
        <w:t>La LPP institue un régime d'assurance obligatoire des salariés (art. 2 al. 1 LPP). Sont obligatoirement soumis à l'assurance les salariés auxquels un même employeur verse un salaire annuel supérieur à la limite légale pour les risques de décès et d’invalidité dès le 1er janvier qui suit la date à laquelle ils ont eu 17 ans et, pour la vieillesse, dès le 1er janvier qui suit la date à laquelle ils ont eu 24 ans (art. 7 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w:t>
      </w:r>
    </w:p>
    <w:p>
      <w:r>
        <w:rPr>
          <w:b/>
        </w:rPr>
        <w:t>E. 5</w:t>
      </w:r>
    </w:p>
    <w:p>
      <w:r>
        <w:t>La convention dite d’affiliation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phr. 1 LPP).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 RSAS 1990 p. 161 consid. 4b).</w:t>
      </w:r>
    </w:p>
    <w:p>
      <w:r>
        <w:rPr>
          <w:b/>
        </w:rPr>
        <w:t>E. 6</w:t>
      </w:r>
    </w:p>
    <w:p>
      <w:r>
        <w:t>Selon le ch. 10 du contrat d’adhésion,</w:t>
      </w:r>
    </w:p>
    <w:p>
      <w:r>
        <w:t>A/1492/2018 - 4/7 - « L’employeur s’engage à payer la totalité des contributions ordinaires qui lui sont facturées par la fondation. À savoir, en particulier : • les contributions visant à alimenter les avoirs de vieillesse, ainsi que celles destinées à l’assurance de risque; • les frais d’exécution ordinaires; • les frais accessoires LPP; • les contributions supplémentaires destinées à financer le taux de conversion LFP (risque de longévité); • d’éventuelles contributions d’assainissement. Les contributions sont toujours exigibles au début de l’année d’assurance (1er janvier). Lors de mutations intervenant en cours d’année (p. ex. nouvelles entrées en service), les contributions sont échues à la date d’entrée en vigueur correspondante. L’employeur est débiteur envers la fondation de la totalité des contributions facturées par celle-ci. Il s’engage à payer les contributions dans les délais et à régler le compte au prorata jusqu’au 30 juin et 31 décembre de l’année en question, dans la mesure où celui-ci présente un solde en faveur de la fondation ». Le ch. 12 du contrat d’adhésion prévoit que « L’employeur est mis en demeure pour tous les arriérés de contributions et créances selon les chiffres 10 et 11 du présent contrat. Si la sommation reste sans effet, la fondation se réserve le droit de recourir à la voie judiciaire pour l’encaissement des arriérés de contributions et créances, intérêts et frais compris, et de résilier immédiatement le contrat sans observer un délai de résiliation. (…) Les frais de sommation et, le cas échéant, d’autres démarches d’encaissement sont régis par le règlement sur les coûts ». Les frais de poursuite sont d'office supportés par le débiteur lorsque la poursuite aboutit (JdT 1974 III 32).</w:t>
      </w:r>
    </w:p>
    <w:p>
      <w:r>
        <w:rPr>
          <w:b/>
        </w:rPr>
        <w:t>E. 7</w:t>
      </w:r>
    </w:p>
    <w:p>
      <w:r>
        <w:t>Aux termes de l'art. 41 al. 2 LPP, les actions en recouvrement de créances se prescrivent par cinq ans quand elles portent sur des cotisations ou des prestations périodiques, par dix ans dans les autres cas. Les art. 129 à 142 CO sont applicables. Le versement des cotisations à l’institution de prévoyance tombe sous le délai de prescription de cinq ans. Le délai de prescription commence à courir uniquement à partir du moment où la prestation est exigible. En effet, l’art. 41 al. 2 LPP renvoie notamment à l’art. 130 al. 1 CO, qui associe le début du délai de prescription à l’exigibilité de la créance. Il faut, par exemple, partir de l’exigibilité des cotisations définie dans le règlement ou le contrat d’affiliation (PÉTREMAND in SCHNEIDER/GEISER/GÄCHTER [éd.], Commentaire LPP et LFLP, 2010, ad art. 41 LPP, pp. 650 - 651 nn. 12 et 15).</w:t>
      </w:r>
    </w:p>
    <w:p>
      <w:r>
        <w:t>A/1492/2018 - 5/7 -</w:t>
      </w:r>
    </w:p>
    <w:p>
      <w:r>
        <w:rPr>
          <w:b/>
        </w:rPr>
        <w:t>E. 8</w:t>
      </w:r>
    </w:p>
    <w:p>
      <w:r>
        <w:t>En matière de prévoyance professionnelle, le juge saisi d’une action doit se prononcer sur l’existence ou l’étendue d’un droit ou d’une obligation dont une partie prétend être titulaire contre l’autre partie (arrêt du Tribunal fédéral des assurances B 91/05, du 17 janvier 2007 consid. 2.1).</w:t>
      </w:r>
    </w:p>
    <w:p>
      <w:r>
        <w:rPr>
          <w:b/>
        </w:rPr>
        <w:t>E. 9</w:t>
      </w:r>
    </w:p>
    <w:p>
      <w:r>
        <w:t>L’objet du litige devant la juridiction cantonale est déterminé par les conclusions de la demande introduite par l’assuré (arrêt du Tribunal fédéral des assurances B 72/04, du 31 janvier 2006 consid. 1.1). C’est ainsi la partie qui déclenche l’ouverture de la procédure qui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 (arrêt du Tribunal fédéral des assurances B 59/03 du 30 décembre 2003 consid. 4.1).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11</w:t>
      </w:r>
    </w:p>
    <w:p>
      <w:r>
        <w:t>En l'espèce, la chambre de céans tient pour établi qu'en sa qualité d'employeur occupant des salariés, l’employeur devait obligatoirement être affilié à une caisse de prévoyance professionnelle, ce qui du reste n'est pas contesté.</w:t>
      </w:r>
    </w:p>
    <w:p>
      <w:r>
        <w:t>A/1492/2018 - 6/7 - Il ressort de l'ensemble des pièces produites par la Fondation que l’employeur est demeuré débiteur d'un montant de CHF 4'504.40, correspondant aux cotisations des salariés dues au 31 octobre 2016. L’employeur n’a pas contesté le décompte des primes. En outre, la simple passivité du débiteur, celui-ci n'ayant réagi ni aux sommations de la Fondation, ni aux courriers de la chambre de céans, ne saurait empêcher la Fondation d'engager et de continuer des procédures de recouvrement afin d'obtenir la reconnaissance de ses droits (ATA J. du 5 septembre 1995). En ce qui concerne les frais de poursuite, ils sont d'office supportés par le débiteur lorsque la poursuite aboutit (JdT 1974 III 32). Pour tous ces motifs, il y a lieu d'admettre la demande et de prononcer la mainlevée définitive de l'opposition au commandement de payer.</w:t>
      </w:r>
    </w:p>
    <w:p>
      <w:r>
        <w:rPr>
          <w:b/>
        </w:rPr>
        <w:t>E. 12</w:t>
      </w:r>
    </w:p>
    <w:p>
      <w:r>
        <w:t>En ce qui concerne les frais et dépens de la cause, l'art. 73 al. 2 LPP précise que les cantons doivent prévoir une procédure simple, rapide et, en principe, gratuite. L'art. 89H al. 1 de la loi sur la procédure administrative du 12 septembre 1985 (LPA - E 5 10) prévoit quant à lui que la procédure est gratuite pour les parties.</w:t>
      </w:r>
    </w:p>
    <w:p>
      <w:r>
        <w:t>A/1492/2018 - 7/7 -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