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ATAS/831/2014 vom 27. Juni 2014</w:t>
      </w:r>
    </w:p>
    <w:p>
      <w:r>
        <w:t>GE Cour de justice, 2014-06-27, FR</w:t>
      </w:r>
    </w:p>
    <w:p>
      <w:r>
        <w:rPr>
          <w:b/>
        </w:rPr>
        <w:t xml:space="preserve">Quelle: </w:t>
      </w:r>
      <w:r>
        <w:t>https://mcp.opencaselaw.ch/entscheid/ge_gerichte_ATAS_831_2014</w:t>
      </w:r>
    </w:p>
    <w:p>
      <w:r>
        <w:t>FR: GE_GERICHTE ATAS/831/2014 du 27 juin 2014</w:t>
      </w:r>
    </w:p>
    <w:p>
      <w:r>
        <w:t>IT: GE_GERICHTE ATAS/831/2014 del 27 giugno 2014</w:t>
      </w:r>
    </w:p>
    <w:p>
      <w:pPr>
        <w:pStyle w:val="Heading2"/>
      </w:pPr>
      <w:r>
        <w:t>Erwägungen</w:t>
      </w:r>
    </w:p>
    <w:p>
      <w:r>
        <w:rPr>
          <w:b/>
        </w:rPr>
        <w:t>E. 1</w:t>
      </w:r>
    </w:p>
    <w:p>
      <w:r>
        <w:t>Suspend l'instance en application de l’art. 126 CPC, jusqu’à réception du rapport d’expertise du Dr H______ ordonnée dans le cadre de la procédure A/3191/2013.</w:t>
      </w:r>
    </w:p>
    <w:p>
      <w:r>
        <w:rPr>
          <w:b/>
        </w:rPr>
        <w:t>E. 2</w:t>
      </w:r>
    </w:p>
    <w:p>
      <w:r>
        <w:t>Réserve la suite de la procédure.</w:t>
      </w:r>
    </w:p>
    <w:p>
      <w:r>
        <w:rPr>
          <w:b/>
        </w:rPr>
        <w:t>E. 3</w:t>
      </w:r>
    </w:p>
    <w:p>
      <w:r>
        <w:t>Dit que la procédure est gratuite.</w:t>
      </w:r>
    </w:p>
    <w:p>
      <w:r>
        <w:rPr>
          <w:b/>
        </w:rPr>
        <w:t>E. 4</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Isabelle CASTILLO</w:t>
      </w:r>
    </w:p>
    <w:p>
      <w:r>
        <w:t>La présidente</w:t>
      </w:r>
    </w:p>
    <w:p>
      <w:r>
        <w:t>Juliana BALDE</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