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ATAS/831/2008 vom 24. Juli 2008</w:t>
      </w:r>
    </w:p>
    <w:p>
      <w:r>
        <w:t>GE Cour de justice, 2008-07-24, FR</w:t>
      </w:r>
    </w:p>
    <w:p>
      <w:r>
        <w:rPr>
          <w:b/>
        </w:rPr>
        <w:t xml:space="preserve">Quelle: </w:t>
      </w:r>
      <w:r>
        <w:t>https://mcp.opencaselaw.ch/entscheid/ge_gerichte_ATAS_831_2008</w:t>
      </w:r>
    </w:p>
    <w:p>
      <w:r>
        <w:t>FR: GE_GERICHTE ATAS/831/2008 du 24 juillet 2008</w:t>
      </w:r>
    </w:p>
    <w:p>
      <w:r>
        <w:t>IT: GE_GERICHTE ATAS/831/2008 del 24 luglio 2008</w:t>
      </w:r>
    </w:p>
    <w:p>
      <w:pPr>
        <w:pStyle w:val="Heading2"/>
      </w:pPr>
      <w:r>
        <w:t>Erwägungen</w:t>
      </w:r>
    </w:p>
    <w:p>
      <w:r>
        <w:rPr>
          <w:b/>
        </w:rPr>
        <w:t>E. 1</w:t>
      </w:r>
    </w:p>
    <w:p>
      <w:r>
        <w:t>Déclare le recours recevable. Au fond :</w:t>
      </w:r>
    </w:p>
    <w:p>
      <w:r>
        <w:rPr>
          <w:b/>
        </w:rPr>
        <w:t>E. 2</w:t>
      </w:r>
    </w:p>
    <w:p>
      <w:r>
        <w:t>Le rejette.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