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ATAS/830/2024 vom 22. Oktober 2024</w:t>
      </w:r>
    </w:p>
    <w:p>
      <w:r>
        <w:t>GE Cour de justice, 2024-10-22, FR</w:t>
      </w:r>
    </w:p>
    <w:p>
      <w:r>
        <w:rPr>
          <w:b/>
        </w:rPr>
        <w:t xml:space="preserve">Quelle: </w:t>
      </w:r>
      <w:r>
        <w:t>https://mcp.opencaselaw.ch/entscheid/ge_gerichte_ATAS_830_2024</w:t>
      </w:r>
    </w:p>
    <w:p>
      <w:r>
        <w:t>FR: GE_GERICHTE ATAS/830/2024 du 22 octobre 2024</w:t>
      </w:r>
    </w:p>
    <w:p>
      <w:r>
        <w:t>IT: GE_GERICHTE ATAS/830/2024 del 22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A/4002/2023 - 8/20 - 2000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le recours est recevable.</w:t>
      </w:r>
    </w:p>
    <w:p>
      <w:r>
        <w:rPr>
          <w:b/>
        </w:rPr>
        <w:t>E. 2</w:t>
      </w:r>
    </w:p>
    <w:p>
      <w:r>
        <w:t>Le litige porte sur le bien-fondé de la décision de l’intimée niant les droits du recourant à une rente d'invalidité et à une indemnité pour atteinte à l'intégrité, singulièrement sur la prise en compte d’un abattement dans la détermination du revenu d’invalide et sur une éventuelle aggravation prévisible de l’arthrose du genou gauche.</w:t>
      </w:r>
    </w:p>
    <w:p>
      <w:r>
        <w:rPr>
          <w:b/>
        </w:rPr>
        <w:t>E. 3</w:t>
      </w:r>
    </w:p>
    <w:p>
      <w:r>
        <w:t>Conformément à l’art. 18 al. 1 LAA, si l’assuré est invalide (art. 8 LPGA) à 10% au moins par suite d’un accident, il a droit à une rente d’invalidité, pour autant que l’accident soit survenu avant l’âge de référence.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t>A/4002/2023 - 9/20 -</w:t>
      </w:r>
    </w:p>
    <w:p>
      <w:r>
        <w:rPr>
          <w:b/>
        </w:rPr>
        <w:t>E. 3.2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Lorsque la personne assurée, en bonne santé, ne travaillerait plus à son ancien poste, le revenu de valide doit être déterminé, conformément à la pratique, au moyen des valeurs statistiques (arrêt du Tribunal fédéral 8C_214/2023 du 20 février 2024 consid. 4.2.1 et les références).</w:t>
      </w:r>
    </w:p>
    <w:p>
      <w:r>
        <w:rPr>
          <w:b/>
        </w:rPr>
        <w:t>E. 3.3</w:t>
      </w:r>
    </w:p>
    <w:p>
      <w:r>
        <w:t>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w:t>
      </w:r>
    </w:p>
    <w:p>
      <w:r>
        <w:t>A/4002/2023 - 10/20 -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étant précisé que les tableaux TA1, T1 et T17 de l’ESS 2022 ont été publiés le 29 mai 2024 et l’ESS 2020 le 23 août 2022.</w:t>
      </w:r>
    </w:p>
    <w:p>
      <w:r>
        <w:rPr>
          <w:b/>
        </w:rPr>
        <w:t>E. 3.3.1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w:t>
      </w:r>
    </w:p>
    <w:p>
      <w:r>
        <w:t>A/4002/2023 - 11/20 -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w:t>
      </w:r>
    </w:p>
    <w:p>
      <w:r>
        <w:rPr>
          <w:b/>
        </w:rPr>
        <w:t>E. 3.3.2</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 arrêts du Tribunal fédéral 8C_454/2023 du 19 décembre 2023 consid. 5.4 ; 8C_147/2023 du 8 août 2023 consid. 5.2.2 et les arrêts cités). La jurisprudence accorde notamment une déduction sur les revenus d'invalide si la capacité de travail d'une personne assurée est limitée, même lorsqu'elle effectue un travail physiquement léger et non qualifié (ATF 126 V 75 consid. 5a/bb). Si, en revanche, un travail léger à moyen-lourd est raisonnable, aucune déduction n'est justifiée, même si les performances sont limitées, car le salaire barème au niveau d'exigence 4 (niveau de compétence de l’ESS de 2012) comprend déjà un grand nombre de tâches légères et moyennement lourdes (arrêts du Tribunal fédéral 8C_381/2017 du 7 août 2017 consid. 4.2.2 ; 8C_253/2017 du 29 juin 2017 consid. 4.3.2 ; 8C_805/2016 du 22 mars 2017 consid. 3.4.2). Dans une affaire concernant un assuré qui devait éviter les montées et les descentes d'escaliers, la marche sur terrain inégal et les marches prolongées sur terrain plat, le port de charges lourdes et le port répétitif de charges moyennes, ainsi que les positions contraignantes pour le genou, le Tribunal fédéral a constaté qu’au regard des nombreuses activités que recouvraient les secteurs de la production et des services, un nombre suffisant d'entre elles correspondaient à des travaux respectant les limitations fonctionnelles de l'assuré. Une déduction supplémentaire sur le salaire statistique ne se justifiait ainsi pas pour tenir compte des circonstances liées à son handicap (arrêt du Tribunal fédéral 8C_659/2021 précité consid. 4.3.1).</w:t>
      </w:r>
    </w:p>
    <w:p>
      <w:r>
        <w:rPr>
          <w:b/>
        </w:rPr>
        <w:t>E. 3.3.3</w:t>
      </w:r>
    </w:p>
    <w:p>
      <w:r>
        <w:t>L'absence d'expérience et de formation ne joue pas de rôle lorsque le revenu d'invalide est déterminé en référence au salaire statistique auquel peuvent prétendre les hommes effectuant des activités simples et répétitives de niveau de</w:t>
      </w:r>
    </w:p>
    <w:p>
      <w:r>
        <w:t>A/4002/2023 - 12/20 - compétence 1. En effet, ce niveau de compétence de l'ESS concerne une catégorie d'emplois ne nécessitant ni formation ni expérience professionnelle spécifique (arrêts du Tribunal fédéral 8C_659/2021 précité consid. 4.3.2 ; 8C_118/2021 du 21 décembre 2021 consid. 6.3.2 ; 8C_175/2020 du 22 septembre 2020 consid. 4.2).</w:t>
      </w:r>
    </w:p>
    <w:p>
      <w:r>
        <w:rPr>
          <w:b/>
        </w:rPr>
        <w:t>E. 3.3.4</w:t>
      </w:r>
    </w:p>
    <w:p>
      <w:r>
        <w:t>Par ailleurs, le niveau de compétence 1 ne nécessite pas, selon la jurisprudence constante, une bonne maîtrise d'une langue nationale (arrêts du Tribunal fédéral 8C_64/2021 du 14 avril 2021 consid. 6.3 ; 9C_115/2018 du</w:t>
      </w:r>
    </w:p>
    <w:p>
      <w:r>
        <w:rPr>
          <w:b/>
        </w:rPr>
        <w:t>E. 3.3.5</w:t>
      </w:r>
    </w:p>
    <w:p>
      <w:r>
        <w:t>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3.4</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3.5</w:t>
      </w:r>
    </w:p>
    <w:p>
      <w:r>
        <w:t>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arrêt du Tribunal fédéral 8C_167/2022 du 18 août 2022 consid. 5.4).</w:t>
      </w:r>
    </w:p>
    <w:p>
      <w:r>
        <w:rPr>
          <w:b/>
        </w:rPr>
        <w:t>E. 3.6</w:t>
      </w:r>
    </w:p>
    <w:p>
      <w:r>
        <w:t>Le juge des assurances sociales fonde sa décision, sauf dispositions contraires de la loi, sur les faits qui, faute d’être établis de manière irréfutable, apparaissent</w:t>
      </w:r>
    </w:p>
    <w:p>
      <w:r>
        <w:t>A/4002/2023 - 13/20 -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Aussi n’existe-t-il pas, en droit des assurances sociales, un principe selon lequel l’administration ou le juge devrait statuer, dans le doute, en faveur de l’assuré (ATF 135 V 39 consid. 6. 1 et la référence). 4. En l’espèce, l’intimée a nié le droit du recourant à une rente au motif que son degré d’invalidité, fixé à 9%, était insuffisant. Il ressort de la décision litigieuse qu’elle a déterminé le revenu avec invalidité sur la base de l’ESS 2020 (homme, secteur privé, niveau de compétence 1, CHF 5'251.- par mois). Après adaptation à la durée de travail hebdomadaire usuelle en Suisse (CHF 5'251.- : 40 x 41.70 heures x 12), le salaire annuel était de CHF 65'815.11, porté à CHF 67'262.62 compte tenu de l'évolution des salaires jusqu'en 2023. Quant au salaire sans invalidité, elle l’a arrêté à CHF 73'749.55, sur la base des indications fournies par l’ancien employeur (CHF 5'544.45 x 13 et adaptation du salaire). 4.1 Le recourant conteste uniquement l’absence de prise en considération d’un abattement dans la détermination du revenu d’invalide. 4.1.1 En ce qui concerne un éventuel abattement lié aux limitations fonctionnelles, la chambre de céans rappellera que doivent être évités le port de charges supérieures à 15-20 kg, le port répété de charges supérieures à 5-10 kg, les montées et descentes répétées d’escaliers et d'échelles, les positions accroupies, à genoux et debout prolongées. Le recourant ne remet pas en cause ces restrictions, qui représentent des mesures relativement classiques d'épargne en vue d'éviter des gonalgies. Elles ne sauraient donc être considérées comme importantes. Il sera encore observé que contrairement à ce que soutient l’intéressé, les activités impliquant un port de charges légères sont exigibles, puisqu’aucune restriction n’est retenue pour celles de moins de 5 kg et celles entre 5 et 10 kg devant uniquement être évitées de façon répétée. Le niveau de compétence 1 de l'ESS contient suffisamment d'emplois avec des tâches simples et légères, compatibles avec les limitations fonctionnelles du recourant. Une déduction sur le salaire statistique ne se justifie donc pas à ce titre. 4.1.2 Le recourant fait également valoir que le rapport de la CRR attesterait d’un rendement faible dans la plupart des activités. Certes, l’évaluation aux ateliers professionnels a mis en évidence une vitesse d’exécution ralentie pour certaines activités. Toutefois, il ressort très clairement du rapport y relatif que les observations n’étaient que le reflet des limitations et des performances auxquelles l’intéressé avait bien voulu consentir, qu’il avait adopté des comportements opposés, soit en s’autolimitant soit en effectuant des</w:t>
      </w:r>
    </w:p>
    <w:p>
      <w:r>
        <w:t>A/4002/2023 - 14/20 - manutentions en force et en vitesse sans réflexion ergonomique. De plus, le patient rapportait diverses douleurs aux niveaux des épaules, du dos et de la fesse droite, lesquelles sont sans rapport avec l’accident assuré. Il sera également relevé que le Dr G______ a fait état d’une participation aux thérapies fluctuante en raison de la focalisation sur la douleur, et retenu une incertitude quant à la volonté du patient « de donner le maximum ». Il a été conclu que le recourant était, d'un point de vue strictement médical, objectivement en mesure de reprendre à plein temps l'exercice d'une activité lucrative sans diminution de rendement, ce que l’intéressé ne conteste pas. 4.1.3 S’agissant du niveau de français du recourant, il est rappelé la jurisprudence constante, aux termes de laquelle le niveau de compétence 1, déterminant en l’occurrence, ne nécessite pas une bonne maîtrise d'une langue nationale. Si les pièces du dossier attestent des difficultés du recourant, elles permettent également de conclure que celui-ci « se débrouille pour parler et comprendre » (notice téléphonique de l’intimée du 12 août 2022). Son niveau de français, avec une « expression et compréhension simple » n’a par ailleurs pas été un obstacle lors de ses activités aux ateliers de la CRR. On relèvera encore que l’intéressé a été en mesure de travailler pour différents employeurs depuis son arrivée à Genève en 2007. 4.1.4 Le recourant ne peut pas non plus se prévaloir de son impossibilité à exercer le seul métier dans lequel il dispose d’une expérience et de son absence de toute formation reconnue en Suisse, dès lors que les activités pertinentes dans le cas présent ne nécessitent ni formation ni expérience professionnelle spécifiques. 4.1.5 En définitive, rien ne permet de retenir que le recourant, âgé de 48 ans au moment de la décision litigieuse, au bénéfice d'un permis d'établissement, vivant en Suisse depuis 2007, qui dispose d'une certaine capacité d'adaptation sur le plan professionnel, aurait des perspectives de gain moindres. La chambre de céans ne pouvant pas, sans motif pertinent, substituer sa propre appréciation à celle de l'administration, aucun abattement ne sera appliqué au salaire statistique. 4.2 À toutes fins utiles, la chambre de céans observera à l’attention du recourant que le calcul opéré par l’intimée lui est avantageux. 4.2.1 En effet, concernant le salaire sans invalidité, il ressort du dossier que l’intéressé a perdu son travail suite à la faillite de son employeur, et non pas en raison de ses problèmes de santé. Dans de telles circonstances, le revenu de valide doit être déterminé, conformément à la pratique, au moyen des valeurs statistiques. L’intimée aurait donc dû se rapporter aux ESS. Si on se référait au tableau T17 « Salaire mensuel brut (valeur centrale) selon les groupes de professions, l'âge et le sexe ; Secteur privé et secteur public (Confédération, cantons, districts, communes, corporations) ensemble, Suisse, en</w:t>
      </w:r>
    </w:p>
    <w:p>
      <w:r>
        <w:t>A/4002/2023 - 15/20 - 2020 », étant rappelé que l’ESS 2022 n’avait pas encore été publiée lors du prononcé de la décision litigieuse, il conviendrait de retenir le « Grand groupe de professions 9 », soit celui correspondant au niveau de compétence 1, puisque la catégorie 7 des « Métiers qualifiés de l’industrie et de l’artisanat » ne saurait entrer en considération, dès lors que le recourant ne peut se prévaloir d’aucun diplôme reconnu en Suisse. Pour un homme âgé entre 30 et 49 ans, le salaire mensuel pour les « Profession élémentaires » s’élève à CHF 5'329.- et le revenu de la ligne 93, « Manœuvres des mines, du bâtiment, des trav. publics, ind. manufact. et transp. » mentionne un revenu mensuel de CHF 5'564.-. En tenant compte de ce dernier, plus élevé, il en résulte un revenu annuel de CHF 66'768.-, lequel doit être adapté à l’horaire de travail usuel de la branche, soit 41.1 heures en 2020 (Durée normale du travail dans les entreprises selon la division économique, D 35 - Production et distribution d’énergie) et qui correspond à un montant de CHF 68'604.10. Compte tenu des indices déterminants (2020 : 2298 ; 2023 : 2343 pour un homme [Évolution des salaires nominaux, des prix à la consommation et des salaires réels, 2010-2023]), le revenu se monte à CHF 69'947.50 après indexation à 2023. Une telle solution serait donc défavorable pour le recourant, au vu du salaire de valide fixé par l’intimée à CHF 73'749.55, d’après les indications de l’ancien employeur. 4.2.2 S’agissant du revenu avec invalidité, l’intimée a retenu un salaire mensuel de CHF 5'261.- en se référant à l’ESS 2020, sans toutefois en préciser le tableau. Cette information ne ressort pas non plus clairement de son document intitulé « Calcul du taux d’invalidité avec les chiffres de l’enquête suisse sur la structure des salaires » (pièce 146), qui mentionne uniquement « Branche économique : 01-96 TOTAL ». Comme relevé précédemment, il convient de se référer au TA1_skill_level, ligne « Total ». Or, en 2020, le revenu s’élevait à CHF 5'357.- pour un homme avec un niveau de compétence 1, ce qui correspond à un revenu annuel de CHF 64'284.-, porté à CHF 67'016.10 compte tenu de la durée normale de travail de 41.7 heures, puis à CHF 68'328.40 après indexation à 2023, soit un montant supérieur à celui pris en considération par l’intimée.</w:t>
      </w:r>
    </w:p>
    <w:p>
      <w:r>
        <w:rPr>
          <w:b/>
        </w:rPr>
        <w:t>E. 5</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w:t>
      </w:r>
    </w:p>
    <w:p>
      <w:r>
        <w:t>A/4002/2023 - 16/20 - selon la gravité de l'atteinte à l'intégrité (al. 1, 2e phrase). Le Conseil fédéral édicte des prescriptions détaillées sur le calcul de l'indemnité (al. 2).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Il est équitablement tenu compte des aggravations prévisibles de l'atteinte à l'intégrité ; une révision n'est possible qu'en cas exceptionnel, si l'aggravation est importante et n'était pas prévisible (al. 4).</w:t>
      </w:r>
    </w:p>
    <w:p>
      <w:r>
        <w:rPr>
          <w:b/>
        </w:rPr>
        <w:t>E. 5.1</w:t>
      </w:r>
    </w:p>
    <w:p>
      <w:r>
        <w:t>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w:t>
      </w:r>
    </w:p>
    <w:p>
      <w:r>
        <w:rPr>
          <w:b/>
        </w:rPr>
        <w:t>E. 5.2</w:t>
      </w:r>
    </w:p>
    <w:p>
      <w:r>
        <w:t>L’art. 36 OLAA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w:t>
      </w:r>
    </w:p>
    <w:p>
      <w:r>
        <w:t>A/4002/2023 - 17/20 -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w:t>
      </w:r>
    </w:p>
    <w:p>
      <w:r>
        <w:rPr>
          <w:b/>
        </w:rPr>
        <w:t>E. 5.3</w:t>
      </w:r>
    </w:p>
    <w:p>
      <w:r>
        <w:t>L’annexe 3 à l'OLAA comporte un barème, reconnu conforme à la loi et non exhaustif (ATF 124 V 29 consid. 1b et les références ; 124 V 209 consid. 4a/bb et les références ; arrêt du Tribunal fédéral 8C_745/2022 du 29 juin 2023 consid. 3.2 et la référence), des lésions fréquentes et caractéristiques, évaluées en pour cent (ATF 124 V 209 consid. 4bb).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t>A/4002/2023 - 18/20 - Selon la table 5, « Indemnisation des atteintes à l ’intégrité selon la LAA », relative à l’atteinte à l ’intégrité résultant d ’arthroses, aucune indemnité n’est prévue en cas d’arthrose légère.</w:t>
      </w:r>
    </w:p>
    <w:p>
      <w:r>
        <w:rPr>
          <w:b/>
        </w:rPr>
        <w:t>E. 5.4</w:t>
      </w:r>
    </w:p>
    <w:p>
      <w:r>
        <w:t>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du 29 juin 2023 consid. 3.3 et les références). Si l'atteinte à la santé évolue dans le cadre du pronostic initial, il est exclu de réviser une indemnité pour atteinte à l'intégrité une fois que celle-ci a été accordée. En revanche, l'indemnité peut être réévaluée si l'atteinte à l'intégrité s'aggrave ultérieurement de manière significative (d’au moins 5%) par rapport au pronostic (arrêt du Tribunal fédéral 8C_746/2022 du 18 octobre 2023 consid. 2.2 et les références ; RAMA 1991 n° U 132 p. 305).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 il a également admis que le développement d’une arthrose fémoro-patellaire moyenne est une aggravation importante, laquelle n’avait pas été prise en considération initialement (arrêt du Tribunal fédéral 8C_751/2023 du 21 mai 2024 consid. 6.2.2).</w:t>
      </w:r>
    </w:p>
    <w:p>
      <w:r>
        <w:rPr>
          <w:b/>
        </w:rPr>
        <w:t>E. 6</w:t>
      </w:r>
    </w:p>
    <w:p>
      <w:r>
        <w:t>En l’occurrence, le recourant requiert le renvoi de la cause à l’intimée pour que cette dernière invite son médecin-conseil à se déterminer sur l’aggravation prévisible de l’arthrose du genou gauche.</w:t>
      </w:r>
    </w:p>
    <w:p>
      <w:r>
        <w:rPr>
          <w:b/>
        </w:rPr>
        <w:t>E. 6.1</w:t>
      </w:r>
    </w:p>
    <w:p>
      <w:r>
        <w:t>La chambre de céans relèvera cependant que la Dre F______ s’est prononcée sur la question, dans son rapport du 26 avril 2023. Elle a expliqué qu’aucune indemnité n’était à envisager pour cette arthrose, qu’elle a qualifiée de minime. Cette appréciation quant au degré de gravité de cette atteinte n’est pas critiquable, puisque le rapport de radiographie du 16 février 2023 fait état d’une arthrose débutante. L’arthrose n’étant que légère, ce que le recourant ne conteste au demeurant pas, celle-ci n’ouvre en principe pas le droit à une indemnité, dès lors que le recourant ne présente pas d’autres troubles, notamment pas de troubles fonctionnels de son membre inférieur gauche.</w:t>
      </w:r>
    </w:p>
    <w:p>
      <w:r>
        <w:t>A/4002/2023 - 19/20 -</w:t>
      </w:r>
    </w:p>
    <w:p>
      <w:r>
        <w:rPr>
          <w:b/>
        </w:rPr>
        <w:t>E. 6.2</w:t>
      </w:r>
    </w:p>
    <w:p>
      <w:r>
        <w:t>En ce qui concerne l’aggravation prévisible, il ressort des explications de la Dre F______ que l’arthrose n’a pas évolué entre les 15 avril 2022 et 16 février 2023, mais qu’elle est susceptible de s’aggraver, qu’une « rechute » est possible. L’absence d’évolution entre les examens radiologiques de 2022 et 2023 est également attestée dans les rapports de radiographie, ainsi que par le rapport du Dr G______. Dans ces circonstances, l’intimée était fondée à retenir que l’aggravation, qui ne peut certes pas être exclue, n’est en l’état pas prévisible. Son évolution ne peut pas être estimée en l’absence de toute progression lors des deux derniers contrôles. Cela étant, conformément à la jurisprudence, en cas de développement d’une arthrose de degré moyen, celle-ci sera considérée comme une aggravation importante, qui n’avait initialement pas été prise en considération, et pourra alors faire l’objet d’une demande de réévaluation.</w:t>
      </w:r>
    </w:p>
    <w:p>
      <w:r>
        <w:rPr>
          <w:b/>
        </w:rPr>
        <w:t>E. 7</w:t>
      </w:r>
    </w:p>
    <w:p>
      <w:r>
        <w:t>Au vu de ce qui précède, le recours est rejeté. Pour le surplus, la procédure est gratuite (art. 61 let. fbis LPGA a contrario).</w:t>
      </w:r>
    </w:p>
    <w:p>
      <w:r>
        <w:t>A/4002/2023 - 20/20 -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