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ATAS/830/2023 vom 30. Oktober 2023</w:t>
      </w:r>
    </w:p>
    <w:p>
      <w:r>
        <w:t>GE Cour de justice, 2023-10-30, FR</w:t>
      </w:r>
    </w:p>
    <w:p>
      <w:r>
        <w:rPr>
          <w:b/>
        </w:rPr>
        <w:t xml:space="preserve">Quelle: </w:t>
      </w:r>
      <w:r>
        <w:t>https://mcp.opencaselaw.ch/entscheid/ge_gerichte_ATAS_830_2023</w:t>
      </w:r>
    </w:p>
    <w:p>
      <w:r>
        <w:t>FR: GE_GERICHTE ATAS/830/2023 du 30 octobre 2023</w:t>
      </w:r>
    </w:p>
    <w:p>
      <w:r>
        <w:t>IT: GE_GERICHTE ATAS/830/2023 del 30 ottobre 2023</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A/406/2023 - 5/12 -</w:t>
      </w:r>
    </w:p>
    <w:p>
      <w:r>
        <w:rPr>
          <w:b/>
        </w:rPr>
        <w:t>E. 1.2</w:t>
      </w:r>
    </w:p>
    <w:p>
      <w:r>
        <w:t>À teneur de l'art. 1 al. 1 LAA, les dispositions de la LPGA s'appliquent à l'assurance-accidents,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w:t>
      </w:r>
    </w:p>
    <w:p>
      <w:r>
        <w:t>Interjeté dans la forme et le délai prévus par la loi, le recours est recevable (art. 60 LPGA).</w:t>
      </w:r>
    </w:p>
    <w:p>
      <w:r>
        <w:rPr>
          <w:b/>
        </w:rPr>
        <w:t>E. 3</w:t>
      </w:r>
    </w:p>
    <w:p>
      <w:r>
        <w:t>Le litige porte sur le droit de la recourante aux prestations de l’intimée, au-delà du 16 octobre 2022, en lien avec son accident du 28 septembre 2021.</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w:t>
      </w:r>
    </w:p>
    <w:p>
      <w:r>
        <w:rPr>
          <w:b/>
        </w:rPr>
        <w:t>E. 4.1</w:t>
      </w:r>
    </w:p>
    <w:p>
      <w:r>
        <w:t>et les références).</w:t>
      </w:r>
    </w:p>
    <w:p>
      <w:r>
        <w:rPr>
          <w:b/>
        </w:rPr>
        <w:t>E. 4.2</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A/406/2023 - 6/12 -</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4.4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À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5.1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w:t>
      </w:r>
    </w:p>
    <w:p>
      <w:r>
        <w:t>A/406/2023 - 7/12 - produit, au cours d'un laps de temps prolongé, des modifications organiques ou psychiques qui conduisent souvent à un état pathologique différent (ATF 123 V 137 consid. 3a ; 118 V 293 consid. 2c et les références).</w:t>
      </w:r>
    </w:p>
    <w:p>
      <w:r>
        <w:rPr>
          <w:b/>
        </w:rPr>
        <w:t>E. 5.2</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Le juge peut accorder pleine valeur probante aux rapports et expertises établis par les médecins d'un assureur social aussi longtemps que ceux-ci aboutissent à des résultats convaincants, que leurs conclusions sont sérieusement</w:t>
      </w:r>
    </w:p>
    <w:p>
      <w:r>
        <w:t>A/406/2023 - 8/12 -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w:t>
      </w:r>
    </w:p>
    <w:p>
      <w:r>
        <w:t>A/406/2023 - 9/12 - conséquent, la violation du principe mentionné (arrêt du Tribunal fédéral 9C_973/2011 du 4 mai 2012 consid. 3.2.1).</w:t>
      </w:r>
    </w:p>
    <w:p>
      <w:r>
        <w:rPr>
          <w:b/>
        </w:rPr>
        <w:t>E. 6.2.4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En l’occurrence, l’intimée a mis un terme à ses prestations au 16 octobre 2022, au motif que, selon l’avis de son médecin-conseil, le Dr E______, l’intervention chirurgicale du 17 octobre 2022 n’était pas en lien avec l’accident. La recourante a contesté cette appréciation, en se fondant sur l’avis de son médecin traitant, le Dr C______.</w:t>
      </w:r>
    </w:p>
    <w:p>
      <w:r>
        <w:rPr>
          <w:b/>
        </w:rPr>
        <w:t>E. 8.1</w:t>
      </w:r>
    </w:p>
    <w:p>
      <w:r>
        <w:t>Le Dr E______ a relevé qu’il existait un état préexistant, soit un conflit ulno- carpien, traduit par un cubitus plus long que le radius et que, dans la mesure où l’atteinte centrale du TFCC n’avait pas été traitée par l’intervention chirurgicale, celle-ci s’était en réalité limitée à réparer une atteinte congénitale, sans lien avec l’accident.</w:t>
      </w:r>
    </w:p>
    <w:p>
      <w:r>
        <w:rPr>
          <w:b/>
        </w:rPr>
        <w:t>E. 8.2</w:t>
      </w:r>
    </w:p>
    <w:p>
      <w:r>
        <w:t>Cet avis ne peut être retenu comme probant, au vu des explications convaincantes et étayées données par le Dr C______. En effet, celui-ci relève, tout comme le Dr E______, que la recourante a présenté un état antérieur par la présence d’une inégalité de longueur entre le radius et le cubitus, même s’il</w:t>
      </w:r>
    </w:p>
    <w:p>
      <w:r>
        <w:t>A/406/2023 - 10/12 - explique que le cubitus peut aussi migrer distalement après un traumatisme lésant les éléments stabilisateurs entre le radius et le cubitus. L’accident avait cependant décompensé cet état préexistant. En effet, celui-ci aurait très bien pu être toléré encore plusieurs mois. Par ailleurs, la lésion du TFCC comportait une déchirure à son insertion dans la fovéa comme on l’observait en général dans les traumatismes. En l’occurrence, le mécanisme de l’accident avec une chute violente de la recourante, les lésions constatées et la déchirure du TFCC rendaient probable le lien de causalité avec l’accident. L’ostéotomie de raccourcissement de l’ulna avait été pratiquée pour diminuer la pression sur le compartiment ulno- carpien du poignet où se situaient le TFCC et le semi-ulnaire, ce qui se pratiquait aussi pour une situation post-traumatique ; l’articulation étant stable après ce geste chirurgical, il n’avait pas eu besoin de pratiquer de geste sur le ligament triangulaire. Au demeurant, le Dr C______ a constaté la présence d’une lésion traumatique du TFCC, laquelle a été traitée chirurgicalement, au moyen d’une intervention indirecte, soit par une ostéotomie de raccourcissement de l’ulna qui diminue la pression sur le TFCC, intervention dont la littérature médicale et l’expertise du Dr C______ indiquent qu’elle suffit à rétablir une stabilité articulaire. À cet égard, le Dr E______ se limite à affirmer que l’idée de corriger, par une ostéotomie seule, une lésion ligamentaire est intéressante mais n’empêche pas que les atteintes sont préalables à l’événement, tout en soulignant qu’il ne parle pas de l’atteinte du TFCC. Par cette affirmation, le Dr E______ semble admettre une atteinte au TFCC d’origine traumatique, sans expliquer en quoi l’avis du Dr C______ n’est pas convaincant quant à l’option thérapeutique choisie pour traiter cette lésion.</w:t>
      </w:r>
    </w:p>
    <w:p>
      <w:r>
        <w:rPr>
          <w:b/>
        </w:rPr>
        <w:t>E. 8.3</w:t>
      </w:r>
    </w:p>
    <w:p>
      <w:r>
        <w:t>Au vu de ce qui précède, il convient de retenir que l’avis du Dr C______, qui est spécialiste de la chirurgie de la main, spécialisation dont ne bénéficie pas le Dr E______, permet de considérer que l’intervention du 17 octobre 2022 a corrigé, au degré de la vraisemblance prépondérante, tant un état pathologique antérieur - décompensé par l’accident - qu’une lésion traumatique du TFCC, survenue suite à cet accident, lequel, comme le relève le Dr C______, a été d’une certaine violence, la recourante ayant chuté, après avoir perdu connaissance, sur les mains et la face (cf. déclaration d’accident et procès-verbal de l’audience du</w:t>
      </w:r>
    </w:p>
    <w:p>
      <w:r>
        <w:rPr>
          <w:b/>
        </w:rPr>
        <w:t>E. 8.4</w:t>
      </w:r>
    </w:p>
    <w:p>
      <w:r>
        <w:t>Compte tenu de l’art. 36 LAA précité, la totalité de l’intervention chirurgicale est à la charge de l’intimée, ainsi que les frais médicaux liés aux suites de cette intervention et les indemnités journalières en lien avec l’incapacité de travail de la recourante. 9. Partant, le recours sera admis et la décision litigieuse annulée. Il sera dit que l’intimée doit prendre à sa charge les suites de l’accident du 28 septembre 2021 au-delà du 16 octobre 2022.</w:t>
      </w:r>
    </w:p>
    <w:p>
      <w:r>
        <w:t>A/406/2023 - 11/12 -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(art. 61 let. fbis LPGA a contrario).</w:t>
      </w:r>
    </w:p>
    <w:p>
      <w:r>
        <w:t>A/406/2023 - 12/12 - PAR CES MOTIFS, LA CHAMBRE DES ASSURANCES SOCIALES : Statuant À la forme :</w:t>
      </w:r>
    </w:p>
    <w:p>
      <w:r>
        <w:rPr>
          <w:b/>
        </w:rPr>
        <w:t>E. 12</w:t>
      </w:r>
    </w:p>
    <w:p>
      <w:r>
        <w:t>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