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ATAS/830/2017 vom 27. September 2017</w:t>
      </w:r>
    </w:p>
    <w:p>
      <w:r>
        <w:t>GE Cour de justice, 2017-09-27, FR</w:t>
      </w:r>
    </w:p>
    <w:p>
      <w:r>
        <w:rPr>
          <w:b/>
        </w:rPr>
        <w:t xml:space="preserve">Quelle: </w:t>
      </w:r>
      <w:r>
        <w:t>https://mcp.opencaselaw.ch/entscheid/ge_gerichte_ATAS_830_2017</w:t>
      </w:r>
    </w:p>
    <w:p>
      <w:r>
        <w:t>FR: GE_GERICHTE ATAS/830/2017 du 27 septembre 2017</w:t>
      </w:r>
    </w:p>
    <w:p>
      <w:r>
        <w:t>IT: GE_GERICHTE ATAS/830/2017 del 27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bien-fondé du refus de l’intimé d’entrer en matière sur la nouvelle demande de prestations de la recourante.</w:t>
      </w:r>
    </w:p>
    <w:p>
      <w:r>
        <w:rPr>
          <w:b/>
        </w:rPr>
        <w:t>E. 4</w:t>
      </w:r>
    </w:p>
    <w:p>
      <w:r>
        <w:t>a. Selon l'art. 87 du règlement du 17 janvier 1961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Lorsqu'elle est saisie d'une nouvelle demande, l'administration doit commencer par examiner si les allégations de l'assuré sont, d'une manière générale, plausibles.</w:t>
      </w:r>
    </w:p>
    <w:p>
      <w:r>
        <w:t>A/4294/2016 - 9/11 -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l'espèce, la recourante n'a pas produit de rapport médical à l'appui de sa demande de révision de sa rente d’invalidité en raison d'une aggravation de son état de santé du 12 octobre 2015. Dans le délai de 30 jours accordé par l'OAI pour en transmettre un détaillé, elle a expliqué que son rhumatologue, le Dr E______, n'avait pu rédiger de rapport sur son état de santé, car il était lui-même tombé</w:t>
      </w:r>
    </w:p>
    <w:p>
      <w:r>
        <w:t>A/4294/2016 - 10/11 - gravement malade. Elle avait donc pris rendez-vous le 10 novembre 2015 avec un autre médecin, la Dresse K______, ce qui retardait la production d'un rapport médical. Dans le second délai imparti par l'OAI pour produire un rapport médical, elle a transmis à ce dernier une nouvelle demande de prestation ainsi qu'un certificat médical de son pneumologue et précisé que la Dresse K______ devait encore établir un rapport médical complet sur son état de santé. Il en résulte que bien que l'assurée n'ait pas produit de rapport médical d'un spécialiste des maladies rhumatismales dans le délai prolongé par l'OAI au 21 décembre 2012, l'on ne saurait considérer qu'elle a refusé de coopérer, puisqu'elle a tenu l'OAI informé de sa situation - à savoir le fait que son médecin traitant n'exerçait plus - et des démarches entreprises auprès de la Dresse K______. L'OAI ne le lui a d'ailleurs pas reproché, puisqu'il a fondé sa décision sur un avis du SMR, qui prenait en compte le rapport établi le 12 janvier 2016 par la Dresse K______. Selon le SMR, ce dernier rapport n’apportait aucun élément nouveau démontrant une aggravation de l’état de santé de l'assurée, ce qui apparaît erroné, puisqu'il faisait état d'une incapacité de travail totale, en raison de polyarthralgies - apparues progressivement depuis début 2015 et ayant conduit le Dr E______ à estimer que sa patiente était en incapacité de travail à 100% depuis le 27 juillet 2015 - et de nouveaux diagnostics : cervico-brachialgies droites sur lésions dégénératives du rachis cervical avec protrusions discales en C6-C7 droite et fibromyalgie. Ce rapport médical rend suffisamment plausible une modification du degré d'invalidité de l'assurée, sans qu'il soit nécessaire de prendre en compte le dossier d’Helvetia.</w:t>
      </w:r>
    </w:p>
    <w:p>
      <w:r>
        <w:rPr>
          <w:b/>
        </w:rPr>
        <w:t>E. 6</w:t>
      </w:r>
    </w:p>
    <w:p>
      <w:r>
        <w:t>Au vu de ce qui précède, le recours sera admis, la décision litigieuse annulée et la cause renvoyée à l’intimé pour qu’il entre en matière sur la nouvelle demande de prestations.</w:t>
      </w:r>
    </w:p>
    <w:p>
      <w:r>
        <w:rPr>
          <w:b/>
        </w:rPr>
        <w:t>E. 7</w:t>
      </w:r>
    </w:p>
    <w:p>
      <w:r>
        <w:t>La recourante obtenant gain de cause a droit à des dépens, qui seront fixés à CHF 1'000.- (art. 61 let. g LPGA).</w:t>
      </w:r>
    </w:p>
    <w:p>
      <w:r>
        <w:rPr>
          <w:b/>
        </w:rPr>
        <w:t>E. 8</w:t>
      </w:r>
    </w:p>
    <w:p>
      <w:r>
        <w:t>L'intimé, qui succombe, sera condamné au paiement d'un émolument de CHF 200.- (art. 69 al. 1bis LAI).</w:t>
      </w:r>
    </w:p>
    <w:p>
      <w:r>
        <w:t>PAR CES MOTIFS, LA CHAMBRE DES ASSURANCES SOCIALES : Statuant</w:t>
      </w:r>
    </w:p>
    <w:p>
      <w:r>
        <w:t>A/4294/2016 - 11/11 -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