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ATAS/830/2014 vom 30. Juni 2014</w:t>
      </w:r>
    </w:p>
    <w:p>
      <w:r>
        <w:t>GE Cour de justice, 2014-06-30, FR</w:t>
      </w:r>
    </w:p>
    <w:p>
      <w:r>
        <w:rPr>
          <w:b/>
        </w:rPr>
        <w:t xml:space="preserve">Quelle: </w:t>
      </w:r>
      <w:r>
        <w:t>https://mcp.opencaselaw.ch/entscheid/ge_gerichte_ATAS_830_2014</w:t>
      </w:r>
    </w:p>
    <w:p>
      <w:r>
        <w:t>FR: GE_GERICHTE ATAS/830/2014 du 30 juin 2014</w:t>
      </w:r>
    </w:p>
    <w:p>
      <w:r>
        <w:t>IT: GE_GERICHTE ATAS/830/2014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A/2292/2013 - 8/13 -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Il sied tout d’abord de déterminer quel est l’objet du litige. Le recourant a interjeté recours de la décision de l’intimé du 10 juin 2013, indiquant avoir reçu « quelques courriers » sur lesquels il n’avait pas pris position, et s’opposer à la restitution des prestations reçues. Dans sa réplique, il a déclaré s’opposer à la suppression de sa rente d’invalidité. La décision du 10 juin 2013, bien qu’intitulée décision de suppression et de restitution de la rente d’invalidité, ne vise en réalité que la restitution en tant que telle, la suppression ayant déjà fait l’objet d’une décision de suppression de rente du 15 avril 2013. Or, il résulte de la pièce produite par l’intimé que la décision précitée lui a été communiquée le 16 avril 2013, ainsi que sa signature l’atteste. Cette dernière n’ayant pas fait l’objet d’un recours, elle est donc définitive et a autorité de chose jugée. La suppression de la rente avec effet rétroactif dès le 30 juin 2011, conditionnée au fait que le recourant disposait dès le 1er juillet 2011, selon les constatations de l’intimé, d’une pleine capacité de travail et qu’il exerçait une activité salariée à 100% lui procurant un revenu supérieur à celui réalisé avant l’atteinte à la santé, n'était donc déjà plus litigieuse à la date de restitution. Le litige porte donc uniquement sur le point de savoir si la décision querellée est conforme au droit en tant qu'elle réclame au recourant la restitution des rentes qui lui ont été versées depuis le 1er juillet 2011 jusqu’au mois de juillet 2012. La chambre de céans constate toutefois que dans sa réplique, le recourant indique, entre autres arguments, qu’il a fait opposition à la suppression de la rente parce que l’activité auprès de la RTS avait été très difficile, que cela l’était toujours et que son médecin généraliste lui avait demandé quelques mois auparavant s’il ne voulait pas retourner à l’AI « du fait de ses observations par rapport à [lui] ». Il s’agit-là indiscutablement d’une nouvelle demande - voire une demande de reconsidération - étant rappelé qu’aux termes de l’art. 29bis du règlement du 17 janvier 1961 sur</w:t>
      </w:r>
    </w:p>
    <w:p>
      <w:r>
        <w:t>A/2292/2013 - 9/13 - l’assurance-invalidité du 17 janvier 1961 (RAI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L’intimé ne s’étant point prononcé, il lui incombera de statuer sur cette demande.</w:t>
      </w:r>
    </w:p>
    <w:p>
      <w:r>
        <w:rPr>
          <w:b/>
        </w:rPr>
        <w:t>E. 6</w:t>
      </w:r>
    </w:p>
    <w:p>
      <w:r>
        <w:t>En vertu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(art. 25 al. 2 1ère phrase LPGA). Ces délais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124 V 380 consid. 1 et la référence).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Sont notamment soumis à l’obligation de restituer le bénéficiaire des prestations allouées indûment ou ses héritiers (art. 2 al. 1 let. a de l'Ordonnance sur la partie générale du droit des assurances sociales du 11 septembre 2002 - OPGA ; RS 830.11).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w:t>
      </w:r>
    </w:p>
    <w:p>
      <w:r>
        <w:t>A/2292/2013 - 10/13 -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7</w:t>
      </w:r>
    </w:p>
    <w:p>
      <w:r>
        <w:t>Comme mentionné plus haut, la suppression de la rente avec effet rétroactif au 30 juin 2011, conditionnée au fait que le recourant disposait dès le 1er juillet 2011 d’une pleine capacité de travail et qu’il exerçait une activité à 100% lui procurant un revenu supérieur à celui réalisé avant l’atteinte à la santé n’est plus litigieuse, la décision de suppression de la rente pour ce motif étant définitive et exécutoire. Le recourant affirme cependant avoir informé l’intimé du fait qu’il avait repris une activité environ deux ans avant la décision litigieuse. Il s’agit donc, en l’espèce, de déterminer si la décision de restitution respecte les délais de l’art. 25 LPGA suscité ; en d’autres termes si l'intimé a eu connaissance des éléments fondant la restitution avant le 10 juin 2012, soit plus d’une année avant la décision litigieuse. Il ressort du dossier, sans que cela ne soit contesté par le recourant, que ce n’est que le 4 juillet 2012 que ce dernier a informé l’intimé, lors d’une conversation téléphonique, qu’il travaillait pour la RTS à 100% depuis novembre 2011. Jusqu’à cette date, l’intimé n’avait aucune raison de penser que le recourant avait repris une activité salariée, encore moins à 100%. En effet, dans le cadre de la procédure de révision initiée par l’intimé en janvier 2010, le recourant avait déclaré, en mars de la même année, qu’il travaillait six heures par semaine en qualité d’indépendant et qu’il n’avait pas fait l’objet d’un changement professionnel depuis l’octroi de la rente. Le médecin traitant avait quant à lui indiqué en avril 2010 qu’une légère amélioration de l’état de santé du recourant permettrait une reprise du travail à 50% dans l’activité d’architecte. L’intimé avait dûment demandé les résultats d’exploitation pour 2008 et 2009 (qui laissaient apparaître des pertes et</w:t>
      </w:r>
    </w:p>
    <w:p>
      <w:r>
        <w:t>A/2292/2013 - 11/13 - maintenaient par conséquent le droit du recourant à une rente entière), et ceux pour 2010 (obtenus par l’intimé à la suite de plusieurs relances régulières au recourant et qui montraient un très faible bénéfice justifiant la poursuite du versement d’une rente entière). Les CI du recourant, demandés par l’intimé en octobre 2011, ne faisaient pas encore état des revenus perçus par le recourant dans le cadre de son nouvel emploi auprès de la RTS. Enfin, c’est suite à deux nouvelles demandes de l’intimé, en juin 2012, s’agissant des résultats d’exploitation pour 2011 et des questions s’agissant l’évolution de son état de santé et sa capacité de travail, ainsi que la reprise éventuelle de son activité professionnelle et ses gains, que le recourant a l’informé de sa nouvelle activité à 100% auprès de la RTS. A cet égard, la publication dans la FOSC, le 16 mai 2012, de la radiation de l’entreprise du recourant ne peut pas non plus être considérée comme un indice que le recourant aurait commencé une autre activité lucrative et qu’il y aurait matière à restitution de prestations indues, mais uniquement du fait que le recourant n’exerçait plus en qualité d’indépendant. L’intimé a ainsi eu connaissance, de la bouche-même du recourant, du fait nouveau déterminant, soit la reprise d’une activité à 100% procurant un revenu supérieur à celui sans invalidité, le 4 juillet 2012. La décision de restitution datant du 10 juin 2013, soit moins d’un an après la découverte dudit fait, elle a donc été rendue dans le délai d’un an prévu par l’art. 25 al. 2 1ère phrase LPGA. Par ailleurs, la suppression de la rente avec effet rétroactif au 30 juin 2011 est conforme à la décision rendue par l’intimé en date du 15 avril 2013, entrée en force. En conséquence, demande de restitution des rentes perçues de juillet 2011 à juillet 2012 est bien fondée</w:t>
      </w:r>
    </w:p>
    <w:p>
      <w:r>
        <w:rPr>
          <w:b/>
        </w:rPr>
        <w:t>E. 8</w:t>
      </w:r>
    </w:p>
    <w:p>
      <w:r>
        <w:t>Enfin, selon l’art. 25 al. 1 2ème phrase LPGA,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La demande de remise ne peut être traitée sur le fond que si la décision de restitution est entrée en force (Arrêt du Tribunal fédéral C 169/05 du 13 avril 2006, consid. 1.2). La remise et son étendue font ainsi l'objet d'une procédure distincte (Arrêt du tribunal fédéral P 63/06 du 14 mars 2007, consid. 3 ; Arrêt du Tribunal</w:t>
      </w:r>
    </w:p>
    <w:p>
      <w:r>
        <w:t>A/2292/2013 - 12/13 - fédéral P 59/06 du 5 décembre 2007). Intrinsèquement, une remise de l'obligation de restituer n'a de sens que pour la personne tenue à restitution (Arrêt du Tribunal fédéral 9C_211/2009 du 26 février 2010 consid. 3.1). Le recourant invoque sa bonne foi - indiquant avoir informé l’intimé qu’il essaierait de poursuivre son travail dans une société après la faillite de son bureau d’architecte, et même qu’il avait trouvé un travail dans une société -, ainsi que la situation difficile dans laquelle le mettrait la restitution des prestations alloués indûment, indiquant être au chômage et ne toucher que CHF 1'600.- par mois vu le nombre de poursuites engagées contre lui et les montants déduits mensuellement par l’office des poursuites d’Yverdon. L’intimé, quant à lui, a tout d’abord affirmé qu’aucune décision n’avait été rendue sur la demande de remise du recourant et que le recours de ce dernier devait donc être déclaré irrecevable. Il a toutefois conclu que la chambre de céans devait trancher cette question sous l’angle de l’économie de procédure, motif pris que la requête du recourant aurait de toute façon été rejetée, dans la mesure où la condition de la bonne foi n’était pas réalisée. En effet, le recourant s’était employé instamment à faillir volontairement à son obligation de renseigner. Conformément à la disposition légale et aux règles suscitées, la restitution et la remise doivent faire l’objet de deux procédures distinctes, cette dernière ne pouvant être traitée sur le fond que lorsque la décision traitant de la restitution est entrée en force. Il n’est pas possible d’y déroger par le biais des règles sur l’économie de procédure. C’est ainsi à tort et de manière prématurée que l’intimé a statué sur la bonne foi dans la décision de restitution litigieuse.</w:t>
      </w:r>
    </w:p>
    <w:p>
      <w:r>
        <w:rPr>
          <w:b/>
        </w:rPr>
        <w:t>E. 9</w:t>
      </w:r>
    </w:p>
    <w:p>
      <w:r>
        <w:t>Au vu de ce qui précède, le recours, mal fondé, est rejeté. Le recourant ayant demandé une remise de l’obligation de restituer dans son recours du 7 juillet 2013, cette question devra faire l’objet d’une nouvelle décision de l’intimé dès l’entrée en force du présent arrêt. L’intimé devra aussi se prononcer sur la demande formulée par le recourant à l’appui de ses conclusions (cf. consid. 5 supra in fine). La présente procédure ne portant pas sur l'octroi ou le refus de prestations de l'assurance-invalidité, elle est gratuite (art. 69 al. 1bis LAI a contrario et art. 61 let. a LPGA).</w:t>
      </w:r>
    </w:p>
    <w:p>
      <w:r>
        <w:t>A/2292/2013 - 13/13 -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