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ATAS/830/2010 vom 19. August 2010</w:t>
      </w:r>
    </w:p>
    <w:p>
      <w:r>
        <w:t>GE Cour de justice, 2010-08-19, FR</w:t>
      </w:r>
    </w:p>
    <w:p>
      <w:r>
        <w:rPr>
          <w:b/>
        </w:rPr>
        <w:t xml:space="preserve">Quelle: </w:t>
      </w:r>
      <w:r>
        <w:t>https://mcp.opencaselaw.ch/entscheid/ge_gerichte_ATAS_830_2010</w:t>
      </w:r>
    </w:p>
    <w:p>
      <w:r>
        <w:t>FR: GE_GERICHTE ATAS/830/2010 du 19 août 2010</w:t>
      </w:r>
    </w:p>
    <w:p>
      <w:r>
        <w:t>IT: GE_GERICHTE ATAS/830/2010 del 19 agosto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interjeté dans les forme et délai prévus par la loi (art. 56 à 60 LPGA), est recevable.</w:t>
      </w:r>
    </w:p>
    <w:p>
      <w:r>
        <w:rPr>
          <w:b/>
        </w:rPr>
        <w:t>E. 3</w:t>
      </w:r>
    </w:p>
    <w:p>
      <w:r>
        <w:t>Le litige porte sur la suspension des indemnités de chômage du recourant pour une durée de 31 jours, pour non-respect d’une assignation d’emploi.</w:t>
      </w:r>
    </w:p>
    <w:p>
      <w:r>
        <w:rPr>
          <w:b/>
        </w:rPr>
        <w:t>E. 4</w:t>
      </w:r>
    </w:p>
    <w:p>
      <w:r>
        <w:t>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w:t>
      </w:r>
    </w:p>
    <w:p>
      <w:r>
        <w:t>A/1575/2010 - 5/7 -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w:t>
      </w:r>
    </w:p>
    <w:p>
      <w:r>
        <w:rPr>
          <w:b/>
        </w:rPr>
        <w:t>E. 5</w:t>
      </w:r>
    </w:p>
    <w:p>
      <w:r>
        <w:t>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 verwaltungsrecht [SBVR], Soziale Sicherheit, ch. 704). Ainsi, afin de ne pas compromettre la possibilité de mettre un terme à son chômage, l'assuré doit, lors des pourparlers avec l'employeur futur, manifester clairement qu'il est disposé à passer un contrat (DTA 1984 no 14 p. 167).</w:t>
      </w:r>
    </w:p>
    <w:p>
      <w:r>
        <w:rPr>
          <w:b/>
        </w:rPr>
        <w:t>E. 6</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w:t>
      </w:r>
    </w:p>
    <w:p>
      <w:r>
        <w:rPr>
          <w:b/>
        </w:rPr>
        <w:t>E. 9</w:t>
      </w:r>
    </w:p>
    <w:p>
      <w:r>
        <w:t>novembre 1998) Ultérieurement, dans un arrêt DTA 2000 n° 8 p. 42, il a toutefois laissé la question ouverte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et fixer une suspension d'une durée inférieure au minimum prévu de 31 jours (cf. également arrêt B. du 15 février 1999 = DTA 2000 no 8 p. 42 ; C 207/02 du 22 octobre 2002 consid. 3.2).</w:t>
      </w:r>
    </w:p>
    <w:p>
      <w:r>
        <w:t>A/1575/2010 - 6/7 - 7. En l’espèce, le recourant affirme avoir envoyé son dossier de candidature par pli simple à l'employeur qui lui avait été assigné. Cependant, ce dernier n’en a pas retrouvé trace.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l’occurrence, à défaut d’élément prouvant formellement que le recourant a bien envoyé sa candidature, le Tribunal de céans ne peut donc que confirmer que c’est à juste titre que l’intimé a considéré que cette preuve n'avait pas été apportée et prononcé une sanction à son encontre. Eu égard aux considérations qui précèdent, le recours ne peut qu'être rejeté.</w:t>
      </w:r>
    </w:p>
    <w:p>
      <w:r>
        <w:t>A/1575/2010 - 7/7 -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