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ATAS/830/2009 vom 15. Juni 2009</w:t>
      </w:r>
    </w:p>
    <w:p>
      <w:r>
        <w:t>GE Cour de justice, 2009-06-15, FR</w:t>
      </w:r>
    </w:p>
    <w:p>
      <w:r>
        <w:rPr>
          <w:b/>
        </w:rPr>
        <w:t xml:space="preserve">Quelle: </w:t>
      </w:r>
      <w:r>
        <w:t>https://mcp.opencaselaw.ch/entscheid/ge_gerichte_ATAS_830_2009</w:t>
      </w:r>
    </w:p>
    <w:p>
      <w:r>
        <w:t>FR: GE_GERICHTE ATAS/830/2009 du 15 juin 2009</w:t>
      </w:r>
    </w:p>
    <w:p>
      <w:r>
        <w:t>IT: GE_GERICHTE ATAS/830/2009 del 15 giugno 2009</w:t>
      </w:r>
    </w:p>
    <w:p>
      <w:pPr>
        <w:pStyle w:val="Heading2"/>
      </w:pPr>
      <w:r>
        <w:t>Erwägungen</w:t>
      </w:r>
    </w:p>
    <w:p>
      <w:r>
        <w:rPr>
          <w:b/>
        </w:rPr>
        <w:t>E. 1</w:t>
      </w:r>
    </w:p>
    <w:p>
      <w:r>
        <w:t>La LPGA, entrée en vigueur le 1er janvier 2003, est applicable au cas d'espèce.</w:t>
      </w:r>
    </w:p>
    <w:p>
      <w:r>
        <w:rPr>
          <w:b/>
        </w:rPr>
        <w:t>E. 2</w:t>
      </w:r>
    </w:p>
    <w:p>
      <w:r>
        <w:t>La loi fédérale du 16 décembre 2005 modifiant la LAI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w:t>
      </w:r>
    </w:p>
    <w:p>
      <w:r>
        <w:rPr>
          <w:b/>
        </w:rPr>
        <w:t>E. 3</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w:t>
      </w:r>
    </w:p>
    <w:p>
      <w:r>
        <w:t>A/3726/2008 - 7/10 -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c)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w:t>
      </w:r>
    </w:p>
    <w:p>
      <w:r>
        <w:t>A/3726/2008 - 8/10 -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w:t>
      </w:r>
    </w:p>
    <w:p>
      <w:r>
        <w:rPr>
          <w:b/>
        </w:rPr>
        <w:t>E. 6</w:t>
      </w:r>
    </w:p>
    <w:p>
      <w:r>
        <w:t>juillet 2007, U 316/2006, consid. 3.1.1). En particulier, elle doit mettre en œuvre une expertise lorsqu'il apparaît nécessaire de clarifier les aspects médicaux du cas (ATF 117 V 283 consid. 4a; ATFA non publié du 19 mars 2004, I 751/03 consid. 3.3, RAMA 1985 K 646 p. 240 consid. 4.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4. En l'occurrence, l'OCAI a, sur la base d'un examen psychiatrique conduit par le Dr C__________ du SMR, octroyé à l'assurée un quart de rente d'invalidité à partir du 1er novembre 2003, tenant compte d'une incapacité de travail sur le plan psychiatrique de 50 % et d'une comparaison des revenus avant et après invalidité générant un degré d'invalidité de 48 %. En novembre 2007, l'assurée a déposé une</w:t>
      </w:r>
    </w:p>
    <w:p>
      <w:r>
        <w:t>A/3726/2008 - 9/10 - demande de révision, alléguant une aggravation de son état de santé. La médecin traitant généraliste a indiqué que l'état de santé était stationnaire et ne s'était pas aggravé de façon notable. Elle a diagnostiqué un trouble anxieux grave depuis 1999. La Dresse B__________, psychiatre traitant, a quant à elle fait état d'une aggravation de l'état de santé et indiqué que sa patiente avait été hospitalisée pour investigations en raison de l'accroissement de ses douleurs multiples. Elle diagnostique une anxiété généralisée avec attaques de panique depuis 1997, une hypocondrie depuis 1997 et une fibromyalgie depuis 2006-2007. Elle estime actuellement l'incapacité de travail totale, alors qu'en 2004, elle avait informé le Dr C__________ qu'elle l'évaluait à 50 %. Elle précise qu'un examen complémentaire est nécessaire. Le médecin du SMR nie l'aggravation de santé, au motif que le rapport de sortie de l'hôpital mentionne un état anxieux dépressif avec degré moyen. Il convient de relever que la Dresse B__________ pose quant à elle un nouveau diagnostic, celui de la fibromyalgie, qui avait déjà été posé par la Dresse F__________, mais non investigué d'un point de vue rhumatologique et psychiatrique. La psychiatre ne fait pas état du degré de gravité des troubles psychiatriques, ne mentionne pas quel est le suivi psychiatrique ni quel est le traitement médicamenteux ni en quoi l'état psychique serait aggravé, mais on peut inférer de son rapport que c'est probablement la fibromyalgie, atteinte non investiguée, qui s'est aggravée. Elle précise que selon elle un examen complémentaire est nécessaire pour déterminer l'état de santé de sa patiente. Or, le rapport de sortie de l'hôpital Beau-Séjour est insuffisant pour rendre compte de l'état psychique et rhumatologique de la patiente. Dès lors, il convient de constater que le dossier n'est pas en état d'être jugé et qu'il n'a pas été suffisamment instruit par l'OCAI. Un examen bidisciplinaire, rhumatologique et psychiatrique, de type COMAI apparaît en l'occurrence nécessaire, afin de faire le point tant sur l'état de santé psychique que sur l'état rhumatologique de la recourante, notamment en tenant compte de la fibromyalgie et des critères jurisprudentiels nécessaires pour lui reconnaître un caractère invalidant. Le dossier sera donc renvoyé à l'OCAI afin qu'il mette en œuvre une telle expertise et rende une nouvelle décision. 5. Au vu de ce qui précède, le recours sera admis dans le sens des considérants. La recourante qui obtient gain de cause aura droit à des dépens fixés à 1'500 fr.</w:t>
      </w:r>
    </w:p>
    <w:p>
      <w:r>
        <w:t>A/3726/2008 - 10/10 -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