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ATAS/82/2025 vom 10. Februar 2025</w:t>
      </w:r>
    </w:p>
    <w:p>
      <w:r>
        <w:t>GE Cour de justice, 2025-02-10, FR</w:t>
      </w:r>
    </w:p>
    <w:p>
      <w:r>
        <w:rPr>
          <w:b/>
        </w:rPr>
        <w:t xml:space="preserve">Quelle: </w:t>
      </w:r>
      <w:r>
        <w:t>https://mcp.opencaselaw.ch/entscheid/ge_gerichte_ATAS_82_2025</w:t>
      </w:r>
    </w:p>
    <w:p>
      <w:r>
        <w:t>FR: GE_GERICHTE ATAS/82/2025 du 10 février 2025</w:t>
      </w:r>
    </w:p>
    <w:p>
      <w:r>
        <w:t>IT: GE_GERICHTE ATAS/82/2025 del 10 febbraio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1ère phrase). Le for de l'action est au siège ou</w:t>
      </w:r>
    </w:p>
    <w:p>
      <w:r>
        <w:t>A/2808/2024 - 3/7 - domicile suisse du défendeur ou au lieu de l'exploitation dans lequel l'assuré a été engagé (al. 3).</w:t>
      </w:r>
    </w:p>
    <w:p>
      <w:r>
        <w:rPr>
          <w:b/>
        </w:rPr>
        <w:t>E. 1.2</w:t>
      </w:r>
    </w:p>
    <w:p>
      <w:r>
        <w:t>En l’espèce, la présente cause oppose une institution de prévoyance professionnelle à une employeuse, dont le siège se situe dans le canton de Genève, en lien avec les cotisations dues par cette dernière. Sa compétence pour juger du cas d’espèce est ainsi établie.</w:t>
      </w:r>
    </w:p>
    <w:p>
      <w:r>
        <w:rPr>
          <w:b/>
        </w:rPr>
        <w:t>E. 1.3</w:t>
      </w:r>
    </w:p>
    <w:p>
      <w:r>
        <w:t>L'ouverture de l'action prévue à l'art. 73 al. 1 LPP n'est soumise, comme telle, à l'observation d'aucun délai (ATAS/630/2023 du 23 août 2023 ;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 Partant, elle est recevable.</w:t>
      </w:r>
    </w:p>
    <w:p>
      <w:r>
        <w:rPr>
          <w:b/>
        </w:rPr>
        <w:t>E. 2.1</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l’assuré (arrêt du Tribunal fédéral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2.2</w:t>
      </w:r>
    </w:p>
    <w:p>
      <w:r>
        <w:t>Le litige porte sur le bien-fondé de la requête de la demanderesse, par laquelle cette dernière réclame le paiement de CHF 2'631.50 avec intérêt à 5% dès le 1er janvier 2019 ainsi que CHF 500.- de frais de réquisition de poursuite, CHF 149.50 de frais de poursuite et CHF 1'500.- de frais de démarches, étant relevé que la défenderesse s’est acquittée d’un montant de CHF 2'631.50 le 13 janvier 2025.</w:t>
      </w:r>
    </w:p>
    <w:p>
      <w:r>
        <w:rPr>
          <w:b/>
        </w:rPr>
        <w:t>E. 3</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t>A/2808/2024 - 4/7 -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w:t>
      </w:r>
    </w:p>
    <w:p>
      <w:r>
        <w:rPr>
          <w:b/>
        </w:rPr>
        <w:t>E. 3.1</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w:t>
      </w:r>
    </w:p>
    <w:p>
      <w:r>
        <w:t>A/2808/2024 - 5/7 - faits invoqués (ATF 139 V 176 consid. 5.2 ;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117 V 261 consid. 3b ; 115 V 133 consid. 8a). Dans cette optique, il est possible de s’inspirer du principe général consacré à l’art. 8 CC selon lequel chaque partie doit, si la loi ne prescrit le contraire, prouver les faits qu'elle allègue pour en déduire son droit (en ce sens : ATF 146 V 51 consid. 5.1 ; 145 V 90 consid. 3.2 ; 115 V 133 consid. 8a ; arrêt du Tribunal fédéral 8C_412/2011,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139 III 13 consid. 3.1.3.1 ; 139 III 7 consid. 2.2).</w:t>
      </w:r>
    </w:p>
    <w:p>
      <w:r>
        <w:rPr>
          <w:b/>
        </w:rPr>
        <w:t>E. 5</w:t>
      </w:r>
    </w:p>
    <w:p>
      <w:r>
        <w:t>En l'espèce, en sa qualité d'employeuse occupant des salariés, la défenderesse devait être affiliée à une caisse de prévoyance professionnelle.</w:t>
      </w:r>
    </w:p>
    <w:p>
      <w:r>
        <w:rPr>
          <w:b/>
        </w:rPr>
        <w:t>E. 5.1</w:t>
      </w:r>
    </w:p>
    <w:p>
      <w:r>
        <w:t>Selon le contrat d'affiliation, signé par la défenderesse le 26 septembre 2008 et entré en vigueur le 1er mai 2008, l’employeur doit à la fondation les primes qui lui sont facturées par Allianz Suisse Vie en vertu du contrat d’assurance collective selon le ch. 5.1 et qui se composent des bonifications de vieillesse, des coûts de l’assurance risque ainsi que de toutes autres contributions légales ou réglementaires (art. 10.1). En plus des primes, des frais supplémentaires peuvent être perçus conformément au règlement des frais. La fondation peut en tout temps adapter le règlement des frais à de nouvelles conditions. Toute modification des dispositions et des données du règlement des frais est annoncée à l’avance à l’employeur (art. 10.4). Le règlement sur les frais de gestion, auquel renvoie le contrat d’affiliation, valable dès le 1er janvier 2011, prévoit expressément des frais relatifs à l’envoi d’une sommation (CHF 100.-), à l’établissement d’une convention de paiement (CHF 250.-), à une réquisition de poursuite (CHF 500.-) et à des frais de plainte (CHF 1'500.-).</w:t>
      </w:r>
    </w:p>
    <w:p>
      <w:r>
        <w:rPr>
          <w:b/>
        </w:rPr>
        <w:t>E. 5.2</w:t>
      </w:r>
    </w:p>
    <w:p>
      <w:r>
        <w:t>Il ressort des pièces produites par la demanderesse et de l'absence de toute contestation de la défenderesse, que celle-ci était tenue de verser les primes convenues avec la demanderesse durant cette période, selon le contrat d’affiliation.</w:t>
      </w:r>
    </w:p>
    <w:p>
      <w:r>
        <w:rPr>
          <w:b/>
        </w:rPr>
        <w:t>E. 5.3</w:t>
      </w:r>
    </w:p>
    <w:p>
      <w:r>
        <w:t>S'agissant de la somme de CHF 2'631.50 réclamée dans la demande, elle correspond au solde retenu dans le décompte de la demanderesse (pièce demanderesse n°16) et comprend les primes impayées. Ce montant est</w:t>
      </w:r>
    </w:p>
    <w:p>
      <w:r>
        <w:t>A/2808/2024 - 6/7 - admis par la défenderesse dès lors qu’elle en a effectué le versement le 13 janvier 2025. Par ailleurs, la chambre de céans observe que les différents frais retenus par la demanderesse sont effectivement prévus dans le règlement sur les frais de gestion (CHF 100.- par lettre de sommation recommandée, CHF 250.- par convention de paiement, CHF 500.- par réquisition de poursuite et CHF 1'500.- par plainte), de sorte que celle-ci était en droit de les retenir, sans avoir à démontrer l'ampleur du dommage subi. Quant aux intérêts sur la créance en capital, ils sont dus en vertu des art. 66 al. 2 LPP et 104 al. 1 CO. En revanche, les frais de poursuite de CHF 149.80 ne sont pas établis et ne seront pas retenus.</w:t>
      </w:r>
    </w:p>
    <w:p>
      <w:r>
        <w:rPr>
          <w:b/>
        </w:rPr>
        <w:t>E. 5.4</w:t>
      </w:r>
    </w:p>
    <w:p>
      <w:r>
        <w:t>Partant, la chambre de céans tiendra pour établi que la défenderesse doit encore à la demanderesse les intérêts à 5% l’an dès le 1er janvier 2019 sur le montant de CHF 2'631.50, ainsi que des frais de CHF 2'000.- (CHF 1'500.- + CHF 500.-). La demande sera partiellement admise dans ce sens.</w:t>
      </w:r>
    </w:p>
    <w:p>
      <w:r>
        <w:rPr>
          <w:b/>
        </w:rPr>
        <w:t>E. 5.5</w:t>
      </w:r>
    </w:p>
    <w:p>
      <w:r>
        <w:t>L'art. 73 al. 2 LPP précise que les cantons doivent prévoir une procédure simple, rapide et, en principe, gratuite. En sa qualité d'institution chargée d'une tâche de droit public, la demanderesse n'a en principe pas droit à des dépens, sous réserve des cas où l'adverse partie procède à la légère ou de manière téméraire (ATF 128 V 323 ; arrêt du Tribunal fédéral 9C_927/2010 du 4 août 2011 consid. 6 et les références citées), ce qui n’est pas réclamé en l’espèce.</w:t>
      </w:r>
    </w:p>
    <w:p>
      <w:r>
        <w:t>A/2808/2024 - 7/7 -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