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ATAS/82/2024 vom 8. Februar 2024</w:t>
      </w:r>
    </w:p>
    <w:p>
      <w:r>
        <w:t>GE Cour de justice, 2024-02-08, FR</w:t>
      </w:r>
    </w:p>
    <w:p>
      <w:r>
        <w:rPr>
          <w:b/>
        </w:rPr>
        <w:t xml:space="preserve">Quelle: </w:t>
      </w:r>
      <w:r>
        <w:t>https://mcp.opencaselaw.ch/entscheid/ge_gerichte_ATAS_82_2024</w:t>
      </w:r>
    </w:p>
    <w:p>
      <w:r>
        <w:t>FR: GE_GERICHTE ATAS/82/2024 du 8 février 2024</w:t>
      </w:r>
    </w:p>
    <w:p>
      <w:r>
        <w:t>IT: GE_GERICHTE ATAS/82/2024 del 8 febbraio 2024</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1er janvier 2021 est entrée en vigueur la modification du 21 juin 2019 de la LPGA. Dans la mesure où le recours a été interjeté postérieurement au 1er janvier 2021 et que le complexe de fait est également postérieur à cette date, il est soumis au nouveau droit (cf. art. 82a LPGA a contrario).</w:t>
      </w:r>
    </w:p>
    <w:p>
      <w:r>
        <w:rPr>
          <w:b/>
        </w:rPr>
        <w:t>E. 4</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les faits déterminants sont postérieurs au 1er janvier 2022, de sorte que les dispositions légales applicables seront citées dans leur teneur actuelle.</w:t>
      </w:r>
    </w:p>
    <w:p>
      <w:r>
        <w:rPr>
          <w:b/>
        </w:rPr>
        <w:t>E. 4.1</w:t>
      </w:r>
    </w:p>
    <w:p>
      <w:r>
        <w:t>Avec répercussion sur la capacité de travail</w:t>
      </w:r>
    </w:p>
    <w:p>
      <w:r>
        <w:rPr>
          <w:b/>
        </w:rPr>
        <w:t>E. 4.1.1</w:t>
      </w:r>
    </w:p>
    <w:p>
      <w:r>
        <w:t>Dates d'apparition</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Les atteintes et les plaintes de la personne expertisée correspondent- elles à un substrat organique objectivable ?</w:t>
      </w:r>
    </w:p>
    <w:p>
      <w:r>
        <w:rPr>
          <w:b/>
        </w:rPr>
        <w:t>E. 4.5</w:t>
      </w:r>
    </w:p>
    <w:p>
      <w:r>
        <w:t>L’état de santé de la personne expertisée s’est-il amélioré / détérioré depuis décembre 2022 ?</w:t>
      </w:r>
    </w:p>
    <w:p>
      <w:r>
        <w:t>A/1693/2023 - 14/16 -</w:t>
      </w:r>
    </w:p>
    <w:p>
      <w:r>
        <w:rPr>
          <w:b/>
        </w:rPr>
        <w:t>E. 4.6</w:t>
      </w:r>
    </w:p>
    <w:p>
      <w:r>
        <w:t>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personne expertisée).</w:t>
      </w:r>
    </w:p>
    <w:p>
      <w:r>
        <w:rPr>
          <w:b/>
        </w:rPr>
        <w:t>E. 4.7</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4.8</w:t>
      </w:r>
    </w:p>
    <w:p>
      <w:r>
        <w:t>Dans l’affirmative, considérez-vous que cela suffise à exclure une atteinte à la santé significative ?</w:t>
      </w:r>
    </w:p>
    <w:p>
      <w:r>
        <w:rPr>
          <w:b/>
        </w:rPr>
        <w:t>E. 4.9</w:t>
      </w:r>
    </w:p>
    <w:p>
      <w:r>
        <w:t>Est-ce que le tableau clinique est cohérent, compte tenu du ou des diagnostic(s) retenu(s) ou y a-t-il des atypies ?</w:t>
      </w:r>
    </w:p>
    <w:p>
      <w:r>
        <w:rPr>
          <w:b/>
        </w:rPr>
        <w:t>E. 4.10</w:t>
      </w:r>
    </w:p>
    <w:p>
      <w:r>
        <w:t>Est-ce que ce qui est connu de l’évolution correspond à ce qui est attendu pour le ou les diagnostic(s) retenu(s) ? 5. Limitations fonctionnelles</w:t>
      </w:r>
    </w:p>
    <w:p>
      <w:r>
        <w:rPr>
          <w:b/>
        </w:rPr>
        <w:t>E. 5</w:t>
      </w:r>
    </w:p>
    <w:p>
      <w:r>
        <w:t>Le délai de recours est de 30 jours (art. 56 LPGA ; art. 62 al. 1 de la loi sur la procédure administrative du 12 septembre 1985 [LPA - E 5 10]). Interjeté dans la forme et le délai prévus par la loi, le recours est recevable.</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Capacité de travail</w:t>
      </w:r>
    </w:p>
    <w:p>
      <w:r>
        <w:rPr>
          <w:b/>
        </w:rPr>
        <w:t>E. 6</w:t>
      </w:r>
    </w:p>
    <w:p>
      <w:r>
        <w:t>Le litige porte sur le bien-fondé de la décision du 14 avril 2023, octroyant une rente entière ordinaire du 1er septembre 2022 jusqu’au 31 mars 2023, puis mettant fin à cette rente au motif que le recourant dispose à nouveau d’une capacité de travail de 100% dans une activité adaptée.</w:t>
      </w:r>
    </w:p>
    <w:p>
      <w:r>
        <w:rPr>
          <w:b/>
        </w:rPr>
        <w:t>E. 6.1</w:t>
      </w:r>
    </w:p>
    <w:p>
      <w:r>
        <w:t>Dater la survenance de l’incapacité de travail durable dans l’activité habituelle pour chaque diagnostic, indiquer son taux pour chaque diagnostic et détailler l’évolution de ce taux pour chaque diagnostic.</w:t>
      </w:r>
    </w:p>
    <w:p>
      <w:r>
        <w:rPr>
          <w:b/>
        </w:rPr>
        <w:t>E. 6.2</w:t>
      </w:r>
    </w:p>
    <w:p>
      <w:r>
        <w:t>La personne expertisée est-elle capable d’exercer son activité lucrative habituelle ?</w:t>
      </w:r>
    </w:p>
    <w:p>
      <w:r>
        <w:rPr>
          <w:b/>
        </w:rPr>
        <w:t>E. 6.2.1</w:t>
      </w:r>
    </w:p>
    <w:p>
      <w:r>
        <w:t>Si non, ou seulement partiellement, pourquoi ? Quelles sont les limitations fonctionnelles qui entrent en ligne de compte ?</w:t>
      </w:r>
    </w:p>
    <w:p>
      <w:r>
        <w:rPr>
          <w:b/>
        </w:rPr>
        <w:t>E. 6.2.2</w:t>
      </w:r>
    </w:p>
    <w:p>
      <w:r>
        <w:t>Depuis quelle date sa capacité de travail est-elle réduite / nulle ?</w:t>
      </w:r>
    </w:p>
    <w:p>
      <w:r>
        <w:rPr>
          <w:b/>
        </w:rPr>
        <w:t>E. 6.3</w:t>
      </w:r>
    </w:p>
    <w:p>
      <w:r>
        <w:t>La personne expertisée est-elle capable d’exercer une activité lucrative adaptée à ses limitations fonctionnelles ?</w:t>
      </w:r>
    </w:p>
    <w:p>
      <w:r>
        <w:rPr>
          <w:b/>
        </w:rPr>
        <w:t>E. 6.3.1</w:t>
      </w:r>
    </w:p>
    <w:p>
      <w:r>
        <w:t>Si non, ou seulement partiellement, pourquoi ? Quelles sont les limitations fonctionnelles qui entrent en ligne de compte ?</w:t>
      </w:r>
    </w:p>
    <w:p>
      <w:r>
        <w:t>A/1693/2023 - 15/16 -</w:t>
      </w:r>
    </w:p>
    <w:p>
      <w:r>
        <w:rPr>
          <w:b/>
        </w:rPr>
        <w:t>E. 6.3.2</w:t>
      </w:r>
    </w:p>
    <w:p>
      <w:r>
        <w:t>Si oui, quel est le domaine d’activité lucrative adaptée ? À quel taux ? Depuis quelle date ?</w:t>
      </w:r>
    </w:p>
    <w:p>
      <w:r>
        <w:rPr>
          <w:b/>
        </w:rPr>
        <w:t>E. 6.3.3</w:t>
      </w:r>
    </w:p>
    <w:p>
      <w:r>
        <w:t>Dire s'il y a une diminution de rendement et la chiffrer.</w:t>
      </w:r>
    </w:p>
    <w:p>
      <w:r>
        <w:rPr>
          <w:b/>
        </w:rPr>
        <w:t>E. 6.4</w:t>
      </w:r>
    </w:p>
    <w:p>
      <w:r>
        <w:t>Comment la capacité de travail de la personne expertisée a-t-elle évolué depuis septembre 2021 ?</w:t>
      </w:r>
    </w:p>
    <w:p>
      <w:r>
        <w:rPr>
          <w:b/>
        </w:rPr>
        <w:t>E. 6.5</w:t>
      </w:r>
    </w:p>
    <w:p>
      <w:r>
        <w:t>Des mesures médicales sont-elles nécessaires préalablement à la reprise d’une activité lucrative ? Si oui, lesquelles ?</w:t>
      </w:r>
    </w:p>
    <w:p>
      <w:r>
        <w:rPr>
          <w:b/>
        </w:rPr>
        <w:t>E. 6.6</w:t>
      </w:r>
    </w:p>
    <w:p>
      <w:r>
        <w:t>Quel est votre pronostic quant à l’exigibilité de la reprise d’une activité lucrative ? 7. Traitement</w:t>
      </w:r>
    </w:p>
    <w:p>
      <w:r>
        <w:rPr>
          <w:b/>
        </w:rPr>
        <w:t>E. 7.1</w:t>
      </w:r>
    </w:p>
    <w:p>
      <w:r>
        <w:t>Examen du traitement suivi par la personne expertisée et analyse de son adéquation.</w:t>
      </w:r>
    </w:p>
    <w:p>
      <w:r>
        <w:rPr>
          <w:b/>
        </w:rPr>
        <w:t>E. 7.2</w:t>
      </w:r>
    </w:p>
    <w:p>
      <w:r>
        <w:t>En cas de prise de traitement psychotrope et de traitement antalgique, effectuer un dosage sanguin.</w:t>
      </w:r>
    </w:p>
    <w:p>
      <w:r>
        <w:rPr>
          <w:b/>
        </w:rPr>
        <w:t>E. 7.3</w:t>
      </w:r>
    </w:p>
    <w:p>
      <w:r>
        <w:t>Est-ce que la personne expertisée s’est engagée ou s’engage dans les traitements qui sont raisonnablement exigibles et possiblement efficaces dans son cas ou n’a-t-elle que peu ou pas de demande de soins ?</w:t>
      </w:r>
    </w:p>
    <w:p>
      <w:r>
        <w:rPr>
          <w:b/>
        </w:rPr>
        <w:t>E. 7.4</w:t>
      </w:r>
    </w:p>
    <w:p>
      <w:r>
        <w:t>Propositions thérapeutiques et analyse de leurs effets sur la capacité de travail de la personne expertisée.</w:t>
      </w:r>
    </w:p>
    <w:p>
      <w:r>
        <w:rPr>
          <w:b/>
        </w:rPr>
        <w:t>E. 7.5</w:t>
      </w:r>
    </w:p>
    <w:p>
      <w:r>
        <w:t>Les médicaments pris régulièrement par l’expertisé induisent-t-ils des effets secondaires, si oui, lesquels ?</w:t>
      </w:r>
    </w:p>
    <w:p>
      <w:r>
        <w:rPr>
          <w:b/>
        </w:rPr>
        <w:t>E. 7.6</w:t>
      </w:r>
    </w:p>
    <w:p>
      <w:r>
        <w:t>Les médicaments ont-ils un impact sur les capacités fonctionnelles de l’expertisé ? Si oui, lesquels ? 8. Appréciation d'avis médicaux du dossier</w:t>
      </w:r>
    </w:p>
    <w:p>
      <w:r>
        <w:rPr>
          <w:b/>
        </w:rPr>
        <w:t>E. 8.1</w:t>
      </w:r>
    </w:p>
    <w:p>
      <w:r>
        <w:t>Êtes-vous d'accord avec l’avis du docteur M. G______, du service médical régional de l’office de l'assurance-invalidité du canton de Genève, du 3 janvier 2023 ? En particulier avec les diagnostics posés, les limitations fonctionnelles constatées, l’estimation de la capacité de travail en fonction des dates retenues? Si non, pourquoi ?</w:t>
      </w:r>
    </w:p>
    <w:p>
      <w:r>
        <w:rPr>
          <w:b/>
        </w:rPr>
        <w:t>E. 8.2</w:t>
      </w:r>
    </w:p>
    <w:p>
      <w:r>
        <w:t>Êtes-vous d’accord avec les appréciations de la Dre D______, respectivement du 22 décembre 2021 et du 1er mars 2022 ? En particulier avec les diagnostics posés, les limitations fonctionnelles constatées et l’estimation de la capacité de travail ? Si non, pourquoi ?</w:t>
      </w:r>
    </w:p>
    <w:p>
      <w:r>
        <w:rPr>
          <w:b/>
        </w:rPr>
        <w:t>E. 8.3</w:t>
      </w:r>
    </w:p>
    <w:p>
      <w:r>
        <w:t>Êtes-vous d'accord avec les appréciations du Dr C______, respectivement du 10 octobre 2022 et du 5 décembre 2022 ? En particulier avec les diagnostics posés, les limitations fonctionnelles constatées et l’estimation de la capacité de travail ? Si non, pourquoi ?</w:t>
      </w:r>
    </w:p>
    <w:p>
      <w:r>
        <w:t>A/1693/2023 - 16/16 - 9. Quel est le pronostic ? 10. Des mesures de réadaptation professionnelle sont-elles envisageables ? 11. Faire toutes autres observations ou suggestions utiles. E. Invite l’expert à déposer, dans les meilleurs délais, un rapport en trois exemplaires auprès de la chambre de céans. II. Réserve le fond ainsi que le sort des frais jusqu’à droit jugé au fond.</w:t>
      </w:r>
    </w:p>
    <w:p>
      <w:r>
        <w:t>La greffière</w:t>
      </w:r>
    </w:p>
    <w:p>
      <w:r>
        <w:t>Véronique SERAIN</w:t>
      </w:r>
    </w:p>
    <w:p>
      <w:r>
        <w:t>Le président</w:t>
      </w:r>
    </w:p>
    <w:p>
      <w:r>
        <w:t>Philippe KNUPFER</w:t>
      </w:r>
    </w:p>
    <w:p>
      <w:r>
        <w:t>Une copie conforme de la présente ordonnance est notifiée aux parties par le greffe le</w:t>
      </w:r>
    </w:p>
    <w:p>
      <w:r>
        <w:rPr>
          <w:b/>
        </w:rPr>
        <w:t>E. 8.4</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w:t>
      </w:r>
    </w:p>
    <w:p>
      <w:r>
        <w:t>A/1693/2023 - 10/16 -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8.5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8.6</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w:t>
      </w:r>
    </w:p>
    <w:p>
      <w:r>
        <w:t>A/1693/2023 - 11/16 - assurances sociales, un principe selon lequel l’administration ou le juge devrait statuer, dans le doute, en faveur de l’assuré (ATF 135 V 39 consid. 6.1 et la référence).</w:t>
      </w:r>
    </w:p>
    <w:p>
      <w:r>
        <w:rPr>
          <w:b/>
        </w:rPr>
        <w:t>E. 10</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11</w:t>
      </w:r>
    </w:p>
    <w:p>
      <w:r>
        <w:t>Selon la jurisprudence constante du Tribunal fédéral, l’art. 45 al. 1 LPGA constitue une base légale suffisante pour mettre les coûts d’une expertise judiciaire à la charge de l’assureur (ATF 143 V 269 consid. 6.2.1 et les références), lorsque les résultats de l'instruction mise en œuvre dans la procédure administrative n'ont pas une valeur probatoire suffisante pour trancher des points juridiquement essentiels et qu'en soi un renvoi est envisageable en vue d'administrer les preuves considérées comme indispensables, mais qu'un tel renvoi apparaît peu opportun au regard du principe de l'égalité des armes (ATF 139 V 225 consid. 4.3). Cette règle ne saurait entraîner la mise systématique des frais d'une expertise judiciaire à la charge de l'autorité administrative. Encore faut-il que l'autorité administrative ait procédé à une instruction présentant des lacunes ou des insuffisances caractérisées et que l'expertise judiciaire serve à pallier les manquements commis dans la phase d'instruction administrative. En d'autres mots, il doit exister un lien entre les défauts de l'instruction administrative et la nécessité de mettre en œuvre une expertise judiciaire (ATF 137 V 210 consid. 4.4.2). Tel est notamment le cas lorsque l'autorité administrative a laissé subsister, sans la lever par des explications objectivement fondées, une contradiction manifeste entre les différents points de vue médicaux rapportés au dossier, lorsqu’elle aura laissé ouvertes une ou plusieurs questions nécessaires à l'appréciation de la situation médicale ou lorsqu'elle a pris en considération une expertise qui ne remplissait</w:t>
      </w:r>
    </w:p>
    <w:p>
      <w:r>
        <w:t>A/1693/2023 - 12/16 - manifestement pas les exigences jurisprudentielles relatives à la valeur probante de ce genre de documents. En revanche, lorsque l'autorité administrative a respecté le principe inquisitoire et fondé son opinion sur des éléments objectifs convergents ou sur les conclusions d'une expertise qui répondait aux réquisits jurisprudentiels, la mise à sa charge des frais d'une expertise judiciaire ordonnée par l'autorité judiciaire de première instance, pour quelque motif que ce soit (à la suite par exemple de la production de nouveaux rapports médicaux ou d'une expertise privée), ne saurait se justifier (ATF 139 V 496 consid. 4.4 et les références ; arrêt du Tribunal fédéral 8C_580/2019 du 6 avril 2020 consid. 5.1).</w:t>
      </w:r>
    </w:p>
    <w:p>
      <w:r>
        <w:rPr>
          <w:b/>
        </w:rPr>
        <w:t>E. 12</w:t>
      </w:r>
    </w:p>
    <w:p>
      <w:r>
        <w:t>En l’espèce, les parties se fondent sur des diagnostics médicaux qui sont proches mais diffèrent quant à la sévérité des limitations fonctionnelles et à leur impact sur la capacité de travail du recourant dans une activité adaptée. En l’absence d’une expertise administrative et compte tenu des appréciations différentes du SMR et du médecin traitant de l’assuré sur la capacité de travail de ce dernier, une instruction complémentaire doit être menée, sous la forme d’une expertise judiciaire, qui sera confiée au docteur F______, spécialiste FMH en rhumatologie.</w:t>
      </w:r>
    </w:p>
    <w:p>
      <w:r>
        <w:t>A/1693/2023 - 13/16 - PAR CES MOTIFS, LA CHAMBRE DES ASSURANCES SOCIALES : Statuant préparatoirement I. Ordonne une expertise médicale de Monsieur A______. Commet à ces fins le docteur F______, spécialiste FMH en rhumatologie, à Genève.</w:t>
      </w:r>
    </w:p>
    <w:p>
      <w:r>
        <w:t>Dit que la mission d’expertise sera la suivante : A. Prendre connaissance du dossier de la cause. B. Si nécessaire, prendre tous renseignements auprès des médecins ayant traité la personne expertisée, en particulier les docteurs D______, cheffe de clinique au service de neurochirurgie des Hôpitaux universitaires de Genève et C______, spécialiste FMH en médecine interne et en rhumatologie. C. Examiner et entendre la personne expertisée et si nécessaire, ordonner d'autres examens. D. Charge le Dr F______ d’établir un rapport détaillé comprenant les éléments suivants : 1. Anamnèse détaillée (avec la description d’une journée-type) 2. Plaintes de la personne expertisée 3. Status et constatations objectives 4. Diagnostics (selon un système de classification reconnu) Précisez quels critères de classification sont remplis et de quelle manière (notamment l’étiologie et la pathogenèse)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