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ATAS/829/2020 vom 2. Oktober 2020</w:t>
      </w:r>
    </w:p>
    <w:p>
      <w:r>
        <w:t>GE Cour de justice, 2020-10-02, FR</w:t>
      </w:r>
    </w:p>
    <w:p>
      <w:r>
        <w:rPr>
          <w:b/>
        </w:rPr>
        <w:t xml:space="preserve">Quelle: </w:t>
      </w:r>
      <w:r>
        <w:t>https://mcp.opencaselaw.ch/entscheid/ge_gerichte_ATAS_829_2020</w:t>
      </w:r>
    </w:p>
    <w:p>
      <w:r>
        <w:t>FR: GE_GERICHTE ATAS/829/2020 du 2 octobre 2020</w:t>
      </w:r>
    </w:p>
    <w:p>
      <w:r>
        <w:t>IT: GE_GERICHTE ATAS/829/2020 del 2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Le litige porte sur la restitution de l'effet suspensif au recours.</w:t>
      </w:r>
    </w:p>
    <w:p>
      <w:r>
        <w:rPr>
          <w:b/>
        </w:rPr>
        <w:t>E. 3</w:t>
      </w:r>
    </w:p>
    <w:p>
      <w:r>
        <w:t>Selon l'art. 54 al. 1 let. c LPGA, les décisions et les décisions sur opposition sont exécutoires lorsque l'effet suspensif attribué à une opposition ou à un recours a été retiré.</w:t>
      </w:r>
    </w:p>
    <w:p>
      <w:r>
        <w:rPr>
          <w:b/>
        </w:rPr>
        <w:t>E. 4</w:t>
      </w:r>
    </w:p>
    <w:p>
      <w:r>
        <w:t>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55 al. 2 et 4 PA relatif au retrait de l'effet suspensif est applicable à la procédure devant les autorités cantonales de dernière instance qui ne statuent pas définitivement en vertu du droit public fédéral ;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 la demande de restitution de l'effet suspensif est traitée sans délai.</w:t>
      </w:r>
    </w:p>
    <w:p>
      <w:r>
        <w:rPr>
          <w:b/>
        </w:rPr>
        <w:t>E. 5</w:t>
      </w:r>
    </w:p>
    <w:p>
      <w:r>
        <w:t>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w:t>
      </w:r>
    </w:p>
    <w:p>
      <w:r>
        <w:t>A/2916/2020 - 4/6 - en considération ; il faut cependant qu'elles ne fassent aucun doute (ATF 124 V 82 consid. 6a ; arrêt du Tribunal fédéral 9C_885/2014 du 17 avril 2015 consid. 4.2).</w:t>
      </w:r>
    </w:p>
    <w:p>
      <w:r>
        <w:rPr>
          <w:b/>
        </w:rPr>
        <w:t>E. 6</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 Hansjörg SEILER, in Praxiskommentar zum VwVG, n° 103 ad art. 55 PA).</w:t>
      </w:r>
    </w:p>
    <w:p>
      <w:r>
        <w:rPr>
          <w:b/>
        </w:rPr>
        <w:t>E. 7</w:t>
      </w:r>
    </w:p>
    <w:p>
      <w:r>
        <w:t>À teneur de l’art. 35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w:t>
      </w:r>
    </w:p>
    <w:p>
      <w:r>
        <w:rPr>
          <w:b/>
        </w:rPr>
        <w:t>E. 8</w:t>
      </w:r>
    </w:p>
    <w:p>
      <w:r>
        <w:t>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w:t>
      </w:r>
    </w:p>
    <w:p>
      <w:r>
        <w:rPr>
          <w:b/>
        </w:rPr>
        <w:t>E. 9</w:t>
      </w:r>
    </w:p>
    <w:p>
      <w:r>
        <w:t>En l’espèce, l’effet suspensif a été retiré par l’intimé dans sa décision du 20 août 2020. Le recourant sollicite la restitution de l’effet suspensif. Au fond, la décision contestée par le recourant alloue une rente complémentaire simple pour l’enfant D______, laquelle doit être versée à sa mère, Mme C______.</w:t>
      </w:r>
    </w:p>
    <w:p>
      <w:r>
        <w:t>A/2916/2020 - 5/6 - Chacun des parents de D______ a sollicité le versement de cette rente. Le recourant et la mère de D______ ne font pas ménage commun. L’enfant, âgée de 7 mois, est domiciliée chez sa mère. Les parents sont tous deux titulaires de l’autorité parentale. Les parents assument chacun la moitié de l’entretien. Le recourant ne verse pas de contribution d’entretien en faveur de sa fille. Il indique la garder lorsque la mère de D______ travaille et lorsqu’elle est malade et avoir des frais de ce fait. L’enfant était est prise en charge à part égale par chacun des parents. Les conditions de versement de la rente pour enfant entre les mains de la mère ont dès lors été considérées comme réalisées par l’intimé, de sorte qu’il a alloué la rente à la mère dans la décision dont est recours et a notifié cette décision à son nom. Dans la mesure où la mère de l’enfant a fait valoir ses droits et qu’il est établi que D______ vit chez elle, que les parents sont co-titulaires de l’autorité parentale et que le recourant ne verse pas de contribution d’entretien en faveur de son enfant, les conditions du versement de la rente pour l’enfant en mains de sa mère apparaissent prima facie réalisées. Cependant, l’instruction devra permettre de compléter les faits et statuer sur le fond du recours. Dans ces circonstances, les prévisions sur l'issue du litige au fond ne présentent pas un degré de certitude suffisant en faveur de l’annulation de cette décision, au stade de l’examen de l’effet suspensif retiré par l’intimé. Par ailleurs, le retrait de l’effet suspensif à la décision attaquée par le recourant priverait l’enfant de sa rente actuellement versée à sa mère, ce qui serait contraire à ses intérêts.</w:t>
      </w:r>
    </w:p>
    <w:p>
      <w:r>
        <w:rPr>
          <w:b/>
        </w:rPr>
        <w:t>E. 10</w:t>
      </w:r>
    </w:p>
    <w:p>
      <w:r>
        <w:t>La requête de restitution de l'effet suspensif est donc rejetée. * * * * * *</w:t>
      </w:r>
    </w:p>
    <w:p>
      <w:r>
        <w:t>A/2916/2020 - 6/6 -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