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ATAS/829/2015 vom 20. Oktober 2015</w:t>
      </w:r>
    </w:p>
    <w:p>
      <w:r>
        <w:t>GE Cour de justice, 2015-10-20, FR</w:t>
      </w:r>
    </w:p>
    <w:p>
      <w:r>
        <w:rPr>
          <w:b/>
        </w:rPr>
        <w:t xml:space="preserve">Quelle: </w:t>
      </w:r>
      <w:r>
        <w:t>https://mcp.opencaselaw.ch/entscheid/ge_gerichte_ATAS_829_2015</w:t>
      </w:r>
    </w:p>
    <w:p>
      <w:r>
        <w:t>FR: GE_GERICHTE ATAS/829/2015 du 20 octobre 2015</w:t>
      </w:r>
    </w:p>
    <w:p>
      <w:r>
        <w:t>IT: GE_GERICHTE ATAS/829/2015 del 20 ottobre 2015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Sa compétence pour juger du cas d’espèce est ainsi établie.</w:t>
      </w:r>
    </w:p>
    <w:p>
      <w:r>
        <w:rPr>
          <w:b/>
        </w:rPr>
        <w:t>E. 2</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Déposé dans les forme et délai légaux, le recours interjeté contre la décision sur opposition du 6 octobre 2014 est recevable (art. 56 ss LPGA et 38A al. 1 LAF). L’intéressé a formé opposition à la décision du 7 octobre 2014. Par arrêt incident du 28 avril 2015, la chambre de céans a considéré que les conditions permettant l’extension de l’objet du litige étaient réalisées, en d’autres termes que l’objet du présent litige pouvait être étendu à la demande de restitution de la somme de CHF 30'400.- figurant dans la décision du 7 octobre 2014.</w:t>
      </w:r>
    </w:p>
    <w:p>
      <w:r>
        <w:rPr>
          <w:b/>
        </w:rPr>
        <w:t>E. 4</w:t>
      </w:r>
    </w:p>
    <w:p>
      <w:r>
        <w:t>Le litige porte ainsi sur le droit de l’intéressé aux allocations familiales pour ses enfants du 1er juin 2012 au 31 janvier 2014, et partant, sur le droit de la CAFNA de lui réclamer la restitution de CHF 4'500.-, d’une part, et de CHF 30'400.-, d’autre part.</w:t>
      </w:r>
    </w:p>
    <w:p>
      <w:r>
        <w:rPr>
          <w:b/>
        </w:rPr>
        <w:t>E. 5</w:t>
      </w:r>
    </w:p>
    <w:p>
      <w:r>
        <w:t>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w:t>
      </w:r>
    </w:p>
    <w:p>
      <w:r>
        <w:t>A/3387/2014 - 9/18 - Pour les enfants vivant à l'étranger, le Conseil fédéral détermine les conditions d'octroi des allocations. Le montant est établi en fonction du pouvoir d'achat du pays de résidence (al. 3).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OAFam, dont la nouvelle teneur entrée en vigueur le 1er janvier 2012, prévoit que pour les enfants ayant leur domicile à l'étranger, les allocations familiales ne sont versées que si une convention internationale le prévoit.</w:t>
      </w:r>
    </w:p>
    <w:p>
      <w:r>
        <w:rPr>
          <w:b/>
        </w:rPr>
        <w:t>E. 6</w:t>
      </w:r>
    </w:p>
    <w:p>
      <w:r>
        <w:t>Selon l'art. 19 LAFam, les personnes obligatoirement assurées dans l’AVS en tant que personnes sans activité lucrative sont considérées comme sans activité lucrative (nouvelle teneur entrée en vigueur dès le 1er janvier 2013). Elles ont droit aux allocations familiales prévues aux art. 3 et 5. Elles relèvent du canton dans lequel elles sont domiciliées. Au niveau cantonal, l'art. 2 LAF assujettit notamment à la loi sur les allocations familiales les personnes sans activité lucrative, domiciliées dans le canton et assujetties à la loi fédérale sur l'assurance-vieillesse et survivants, du 20 décembre 1946 (lettre e). Une personne assujettie à la loi peut bénéficier des prestations notamment pour les enfants avec lesquels elle a un lien de filiation en vertu du Code civil (art. 3 al. 1 let.a LAF). Les dispositions de la LAFam et de l'OAFam sont applicables, par renvoi de l'art 3 al. 3 LAF, s'agissant des enfants à l'étranger. Les personnes sans activité lucrative peuvent bénéficier des prestations aux conditions énumérées aux alinéas précités, pour autant que l'enfant soit domicilié en Suisse (art. 3 al. 4 LAF). Les personnes qui n’entrent pas dans le champ d’application des conventions internationales n’ont pas droit aux allocations familiales pour leurs enfants domiciliés à l’étranger.</w:t>
      </w:r>
    </w:p>
    <w:p>
      <w:r>
        <w:rPr>
          <w:b/>
        </w:rPr>
        <w:t>E. 7</w:t>
      </w:r>
    </w:p>
    <w:p>
      <w:r>
        <w:t>Selon l'art. 13 LPGA - applicable au domaine des allocations familiales selon l'art. 1 LAFam -, le domicile d’une personne est déterminé selon les art. 23 à 26 du code civil (al. 1). Une personne est réputée avoir sa résidence habituelle au lieu où elle séjourne un certain temps même si la durée de ce séjour est d’emblée limitée (al. 2).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Le domicile de toute personne est au lieu où elle réside avec l'intention de s'y établir et nul ne peut avoir en même temps plusieurs domiciles (art. 23 al. 1 et 2 CC). La notion de domicile comporte donc deux éléments : l'un objectif, la résidence dans</w:t>
      </w:r>
    </w:p>
    <w:p>
      <w:r>
        <w:t>A/3387/2014 - 10/18 -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et le lieu où elle réside est considéré comme son domicile, lorsque l'existence d'un domicile antérieur ne peut être établie ou lorsqu'elle a quitté son domicile à l'étranger et n'en a pas acquis un nouveau en Suisse (art. 24 al. 1 et 2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(ATF du 6 janvier 2006 P 5/2005). Selon l'art. 26 CC, le séjour dans une localité en vue d’y fréquenter les écoles, ou le fait d’être placé dans un établissement d’éducation, un hospice, un hôpital, une maison de détention, ne constituent pas le domicile.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w:t>
      </w:r>
    </w:p>
    <w:p>
      <w:r>
        <w:t>A/3387/2014 - 11/18 -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9</w:t>
      </w:r>
    </w:p>
    <w:p>
      <w:r>
        <w:t>En l'espèce, il résulte de ce qui précède que l’intéressé, en tant que personne sans activité lucrative domiciliée en Suisse, a droit à des allocations familiales pour ses enfants pour autant que ceux-ci soient également domiciliés en Suisse. Force est en effet de constater qu'en l'absence de convention internationale avec la Turquie en matière d'allocations familiales en faveur des travailleurs autres que les travailleurs agricoles et les petits paysans (Directives pour l’application de la LAFam version du 1er janvier 2013 ; ATAS/1504/2009), l’intéressé n'a pas droit à l'octroi d'allocations familiales pour ses enfants domiciliés en Turquie.</w:t>
      </w:r>
    </w:p>
    <w:p>
      <w:r>
        <w:rPr>
          <w:b/>
        </w:rPr>
        <w:t>E. 10</w:t>
      </w:r>
    </w:p>
    <w:p>
      <w:r>
        <w:t>Il est établi que C______, D______, E______ et F______ sont repartis en Turquie en octobre 2013. L’intéressé ne le conteste pas.</w:t>
      </w:r>
    </w:p>
    <w:p>
      <w:r>
        <w:t>A/3387/2014 - 12/18 - Les enfants n’ont ainsi pas été domiciliés à Genève de novembre 2013 à janvier 2014. Le droit à des allocations en leur faveur ne peut, partant, être que nié, pour cette période. C______, quant à elle, a accompli ses 16 ans en septembre 2013, de sorte que dès cette date déjà elle n’a plus droit aux allocations familiales, celles-ci n’étant accordées que jusqu’à la fin du mois au cours duquel elle atteint l’âge de 16 ans. L’octroi d’allocations de formation professionnelle dès 16 ans n’est possible que s’il y a formation (art. 3 LAFam et 7 LAF).</w:t>
      </w:r>
    </w:p>
    <w:p>
      <w:r>
        <w:rPr>
          <w:b/>
        </w:rPr>
        <w:t>E. 11</w:t>
      </w:r>
    </w:p>
    <w:p>
      <w:r>
        <w:t>Il y a également lieu d’examiner si ces quatre enfants étaient ou non domiciliés à Genève de juin 2012 à octobre 2013. On peut utilement se référer au tableau des séjours de l’épouse et des enfants établi par la CAFNA sur la base de l’extrait CALVIN de l’office cantonal de la population et reproduit sous chiffre 9 de la partie en fait qui précède. Le dépôt des papiers ne suffit cependant pas à constituer un domicile. Il s’agit surtout de déterminer où se trouvait le centre des relations personnelles et scolaires des enfants. La CAFNA considère que le fait que les enfants aient quitté la Suisse en août 2004 respectivement à 9, 7, 5, 3 et 2 ans, qu’ils n’y soient revenus qu’en juin 2012, aux âges de 16, 15, 13, 11 et 10 ans, ce pour dix-onze mois seulement, ne permet pas d’établir qu’ils ont fixé leur domicile en Suisse. Ils n’ont pas poursuivi une scolarité régulière en Suisse et n’ont pas pu tisser de relations personnelles et sociales. L’intéressé rappelle quant à lui qu’il est titulaire de l’autorité parentale et du droit de garde, que son épouse est venue en Suisse avec les enfants en juin 2012 dans le but d’y rester définitivement, que dès lors les enfants ont transféré leur résidence en Suisse dès cette date et y étaient domiciliés en application de l’art. 25 al. 1 CC. Le projet commun de la famille était de rester à Genève auprès de l’intéressé. La volonté de l’épouse et des enfants de s’établir en Suisse définitivement s’est maintenue à tout le moins jusqu’à l’automne 2013. Il rappelle que durant l’année scolaire 2012-2013, les cinq enfants étaient scolarisés à Genève, et l’étaient encore l’année scolaire suivante. Il est vrai que B______, entendu par la chambre de céans le 14 avril 2015, a précisé : « En juin 2012, nous sommes tous revenus. Nous voulions venir étudier ici. (…) Je précise qu’un diplôme suisse est très apprécié en Turquie. Il a beaucoup de valeur ». Or, selon l’art. 26 CC, le séjour dans une localité en vue d’y fréquenter les écoles ne constitue pas le domicile. Il y a toutefois lieu de constater que les enfants sont venus en Suisse avec leur mère en juin 2012, se sont installés chez leur père et se sont inscrits à l’école. La volonté de s’établir tous ensemble en Suisse paraît pour le moins vraisemblable, au degré requis par la jurisprudence. Certes ne sont-ils en définitive restés que jusqu’à octobre 2013, soit après n’avoir résidé en Suisse que seize mois (et non dix à onze</w:t>
      </w:r>
    </w:p>
    <w:p>
      <w:r>
        <w:t>A/3387/2014 - 13/18 - mois comme le relève la CAFNA), B______ a toutefois expliqué pour quelle raison sa mère, ses frères et sœurs avaient finalement quitté la Suisse en octobre 2013, soit parce que « ma sœur, C______, était en 9ème année et en classe d’accueil. À la fin de l’année, il lui a été dit, au vu de ses résultats scolaires, qu’elle ne pouvait pas continuer ses études, qu’elle devait accomplir un apprentissage. Elle a alors décidé de repartir en Turquie, parce qu’elle voulait étudier. Les frères et sœurs étaient trop petits pour rester ici sans notre mère ». Il y a en conséquence lieu de considérer que C______, D______, E______ et F______ étaient domiciliés à Genève de juin 2012 à octobre 2013.</w:t>
      </w:r>
    </w:p>
    <w:p>
      <w:r>
        <w:rPr>
          <w:b/>
        </w:rPr>
        <w:t>E. 12</w:t>
      </w:r>
    </w:p>
    <w:p>
      <w:r>
        <w:t>S’agissant de B______, l’intéressé allègue que celui-ci, contrairement à ses frères et sœurs, n’a pas quitté Genève depuis octobre 2011 et a l’intention de s’y établir durablement. La CAFNA considère que B______ ne réside en Suisse que pour y poursuivre ses études, et qu’il n’y est dès lors pas domicilié. B______ est de nationalité turque - contrairement à son père et à ses frères et sœurs qui ont obtenu la nationalité suisse -. Son père est à Genève depuis 1997. Il est venu le rejoindre alors qu’il était âgé de 5 ans. Il est resté en Suisse quatre ans, puis y est revenu avec sa mère en octobre 2011, à 16 ans. Selon CALVIN, il est à Genève de façon ininterrompue depuis cette date. Lors de l’audience du 14 avril 2015, il a cependant expliqué qu’en réalité il était reparti en Turquie après avoir passé quelques semaines de vacances à Genève en octobre – novembre 2011. Il n’est revenu, en même temps que sa mère, ses frères et ses sœurs, qu’en juin 2012. Il vit depuis chez son père et poursuit des études de commerce au collège et école de commerce Nicolas-Bouvier. B______ a atteint la majorité le 15 avril 2013. B______ a attesté le 3 novembre 2013 de ce que « je me plais à Genève, j’ai beaucoup d’amis et je veux terminer ma formation à Genève et être un employé de commerce en Suisse. Je joue souvent du football avec mes amis, et mes loisirs ce sont écouter de la musique, faire de la lecture et aller au cinéma ». La chambre de céans considère que B______, tout comme ses frères et sœurs, s’est constitué un domicile à Genève en y établissant le centre de son existence depuis juin 2012 - et non pas depuis octobre 2011, au vu de ses déclarations du 14 avril 2015 -. Il n’a en revanche, contrairement à eux, pas quitté Genève en octobre 2013, de sorte qu’il est resté domicilié dans le canton, au-delà de cette date.</w:t>
      </w:r>
    </w:p>
    <w:p>
      <w:r>
        <w:rPr>
          <w:b/>
        </w:rPr>
        <w:t>E. 13</w:t>
      </w:r>
    </w:p>
    <w:p>
      <w:r>
        <w:t>Il résulte de ce qui précède que D______, E______ et F______ donnent droit aux allocations familiales de juin 2012 à octobre 2013, C______ de juin 2012 à septembre 2013, et B______ depuis juin 2012, ce tant qu’il poursuit une formation.</w:t>
      </w:r>
    </w:p>
    <w:p>
      <w:r>
        <w:rPr>
          <w:b/>
        </w:rPr>
        <w:t>E. 14</w:t>
      </w:r>
    </w:p>
    <w:p>
      <w:r>
        <w:t>Il n’est pas contesté que C______, D______, E______ et F______ n’ont en revanche pas été domiciliés à Genève de novembre 2013 à janvier 2014. Le droit à des allocations en leur faveur ne peut, partant, être que nié, pour cette période. Les allocations familiales y relatives ont ainsi été versées à tort à l’intéressé.</w:t>
      </w:r>
    </w:p>
    <w:p>
      <w:r>
        <w:t>A/3387/2014 - 14/18 -</w:t>
      </w:r>
    </w:p>
    <w:p>
      <w:r>
        <w:rPr>
          <w:b/>
        </w:rPr>
        <w:t>E. 15</w:t>
      </w:r>
    </w:p>
    <w:p>
      <w:r>
        <w:t>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(ATF 122 V 134 consid. 2e). Aux termes de l’art. 25 al. 2, 1ère phrase LPGA, le droit de demander la restitution s’éteint un an après le moment où l’institution d’assurance a eu connaissance du fait, mais au plus tard cinq ans après le versement de la prestation. Selon la jurisprudence,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w:t>
      </w:r>
    </w:p>
    <w:p>
      <w:r>
        <w:t>A/3387/2014 - 15/18 -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b) Sur le plan cantonal, l’art. 12 al. 2 LAF dispose que les allocations perçues sans droit doivent être restituées. À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précise que les décisions et les décisions sur opposition passées en force sont soumises à révision si le bénéficiaire ou les caisses, respectivement le fonds cantonal de compensation des allocations familiales, découvrent subséquemment des faits nouveaux important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16</w:t>
      </w:r>
    </w:p>
    <w:p>
      <w:r>
        <w:t>La CAFNA a eu connaissance du départ de C______, F______, D______ et E______ pour la Turquie en septembre 2013. En réclamant à l’intéressé, le 20 février 2014, la restitution des prestations versées à tort de novembre 2013 à janvier 2014, la CAFNA a agi dans le délai d’un an prévu par les art. 25 LPGA et 12 LAF. Elle a également respecté le délai de cinq ans à compter du versement de ces prestations. La décision de restitution des allocations versées pour les quatre enfants de novembre 2013 à janvier 2014 ne peut ainsi être que confirmée.</w:t>
      </w:r>
    </w:p>
    <w:p>
      <w:r>
        <w:rPr>
          <w:b/>
        </w:rPr>
        <w:t>E. 17</w:t>
      </w:r>
    </w:p>
    <w:p>
      <w:r>
        <w:t>L’intéressé a toutefois la possibilité de déposer une demande de remise de l’obligation de rembourser la somme réclamée par la CAFNA.</w:t>
      </w:r>
    </w:p>
    <w:p>
      <w:r>
        <w:rPr>
          <w:b/>
        </w:rPr>
        <w:t>E. 18</w:t>
      </w:r>
    </w:p>
    <w:p>
      <w:r>
        <w:t>L’intéressé enfin a reproché à la CAFNA d’avoir commis un déni de justice en ne se prononçant pas sur sa demande d’assistance juridique.</w:t>
      </w:r>
    </w:p>
    <w:p>
      <w:r>
        <w:rPr>
          <w:b/>
        </w:rPr>
        <w:t>E. 19</w:t>
      </w:r>
    </w:p>
    <w:p>
      <w:r>
        <w:t>Selon l’art. 61 let. a de la loi fédérale sur la partie générale du droit des assurances sociales du 6 octobre 2000 (LPGA ; RS 830.1), la procédure doit être simple et rapide. Selon la jurisprudence, il y a retard injustifié de la part de l'autorité lorsqu'elle diffère sa décision au-delà de tout délai raisonnable, la jurisprudence rendue avant l'entrée en vigueur de la LPGA demeurant applicable, celle-ci n'ayant apporté aucune modification à la notion du déni de justice (arrêt du Tribunal fédéral des assurances I 712/03du 22 mars 2004).</w:t>
      </w:r>
    </w:p>
    <w:p>
      <w:r>
        <w:t>A/3387/2014 - 16/18 - Le caractère raisonnable de la durée de la procédure s'apprécie en fonction des circonstances particulières de la cause, lesquelles commandent généralement une évaluation globale. La loi ne fixe pas le délai dans lequel l'autorité doit rendre sa décision.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Dans un cas jurisprudentiel (arrêt du Tribunal fédéral des assurances I 241/04 du 15 juin 2006) où l'Office de l’assurance-invalidité (OAI), à la suite d'un jugement du Tribunal cantonal des assurances du canton du Valais du 25 avril 2003 avait rendu de nouvelles décisions le 17 mars 2004, soit un peu moins de onze mois plus tard, le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Dans une autre cause en matière d'assurance-invalidité (arrêt du Tribunal fédéral des assurances I 819/02 du 23 avril 2003),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Dans un arrêt du 2 octobre 2006 (ATAS/859/2006), le Tribunal cantonal des assurances sociales a admis que la décision de l'OAI intervenue cinq mois après un arrêt du Tribunal cantonal des assurances sociales, lequel rétablissait simplement la rente que l'OAI avait supprimée, était tardive, ledit retard constituant un déni de justice dès lors qu'aucune instruction complémentaire n'était nécessaire de la part de l'administration, hormis l'envoi d'un formulaire de compensation. Le Tribunal cantonal des assurances sociales a en revanche jugé qu’un déni de justice doit être considéré comme établi quand l’assureur-maladie ne s’est pas formellement prononcé deux ans et demi après une demande de remboursement (ATAS/354/2007).</w:t>
      </w:r>
    </w:p>
    <w:p>
      <w:r>
        <w:rPr>
          <w:b/>
        </w:rPr>
        <w:t>E. 20</w:t>
      </w:r>
    </w:p>
    <w:p>
      <w:r>
        <w:t>En l'espèce, en cours de procédure, soit le 17 février 2015, la CAFNA a rendu une décision portant sur l'AJ. Force est toutefois de constater que le recours pour déni de justice est devenu sans objet au vu précisément de la notification de la décision du 17 février 2015 (ATF 123 I 286).</w:t>
      </w:r>
    </w:p>
    <w:p>
      <w:r>
        <w:t>A/3387/2014 - 17/18 - Le 27 février 2015, l’intéressé a attiré l’attention de la chambre de céans sur le fait que cette décision avait été rendue la veille du délai imparti à la CAFNA pour déposer sa duplique - alors que la demande d’AJ datait du 29 septembre 2014 - et a déclaré maintenir de ce fait son grief relatif au déni de justice. Reste à examiner si au jour du dépôt du recours, l'on pouvait reprocher à la CAFNA un retard injustifié lequel donnerait droit à l'octroi de dépens au recourant. En l’occurrence, il s’est écoulé cinq mois entre la demande d’AJ et la décision. On ne saurait en déduire que la CAFNA a retardé la procédure de manière injustifiée, de sorte que l’octroi de dépens ne se justifie pas.</w:t>
      </w:r>
    </w:p>
    <w:p>
      <w:r>
        <w:t>A/3387/2014 - 18/18 - PAR CES MOTIFS, LA CHAMBRE DES ASSURANCES SOCIALES : Statuant A la forme : 1. Déclare le recours recevable. Au fond : 2. L’admet partiellement, en ce sens que D______, E______ et F______ ont droit aux allocations familiales de juin 2012 à octobre 2013, C______ de juin 2012 à septembre 2013, et B______ à compter de juin 2012, et tant qu’il poursuit une formation. 3. Annule dès lors la décision du 7 octobre 2014. 4. Le rejette pour le surplus. 5. Condamne l’intimée à verser au recourant une indemnité de procédure de CHF 1’800.-, au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