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ATAS/829/2008 vom 23. Juli 2008</w:t>
      </w:r>
    </w:p>
    <w:p>
      <w:r>
        <w:t>GE Cour de justice, 2008-07-23, FR</w:t>
      </w:r>
    </w:p>
    <w:p>
      <w:r>
        <w:rPr>
          <w:b/>
        </w:rPr>
        <w:t xml:space="preserve">Quelle: </w:t>
      </w:r>
      <w:r>
        <w:t>https://mcp.opencaselaw.ch/entscheid/ge_gerichte_ATAS_829_2008</w:t>
      </w:r>
    </w:p>
    <w:p>
      <w:r>
        <w:t>FR: GE_GERICHTE ATAS/829/2008 du 23 juillet 2008</w:t>
      </w:r>
    </w:p>
    <w:p>
      <w:r>
        <w:t>IT: GE_GERICHTE ATAS/829/2008 del 23 luglio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 au droit à la rente dès le 1er janvier 2004.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Envoyée en courrier non prioritaire, la décision du 19 avril 2007 a été reçue par le recourant au plus tôt le surlendemain et le délai a commencé à courir le 22 avril 2007 (art. 38 al. 1 LPGA) de sorte que le recours du 16 mai 2007 a été formé en temps utile. Interjeté dans la forme et le délai prévus par la loi, le recours est recevable, en vertu des art. 56 ss LPGA.</w:t>
      </w:r>
    </w:p>
    <w:p>
      <w:r>
        <w:rPr>
          <w:b/>
        </w:rPr>
        <w:t>E. 4</w:t>
      </w:r>
    </w:p>
    <w:p>
      <w:r>
        <w:t>Le litige porte sur le degré d'invalidité du recourant, plus particulièrement sur son droit à une rente d'invalidité supérieure à la demi-rente octroyée par l'intimé du 1er décembre 2003 au 31 septembre 2004, puis dès le 1er février 2005. En revanche,</w:t>
      </w:r>
    </w:p>
    <w:p>
      <w:r>
        <w:t>A/1932/2007 - 8/15 - n’est pas litigieux l’octroi d’une rente entière d’invalidité du 1er octobre 2004 au 31 janvier 2005.</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Selon la jurisprudence, une décision par laquelle l'assurance-invalidité accorde une rente d'invalidité avec effet rétroactif et, en même temps, prévoit la réduction ou la suppression de cette rente, correspond à une décision de révision au sens de l'art. 41 LAI (ATF 125 V 417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En cas d'allocation d'une rente dégressive ou temporaire, la date de la modification du droit (diminution ou suppression de la rente) doit être fixée conformément à l'art. 88a al. 1 RAI (ATF 125 V 417 consid. 2d; RCC 1984 p. 137). Selon cette disposition, dans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w:t>
      </w:r>
    </w:p>
    <w:p>
      <w:r>
        <w:t>A/1932/2007 - 9/15 - que l'amélioration constatée se maintienne durant une assez longue période. Il en va de même lorsqu'un tel changement déterminant a duré trois mois déjà, sans interruption notable et sans qu'une complication prochaine soit à craindre.</w:t>
      </w:r>
    </w:p>
    <w:p>
      <w:r>
        <w:rPr>
          <w:b/>
        </w:rPr>
        <w:t>E. 7</w:t>
      </w:r>
    </w:p>
    <w:p>
      <w:r>
        <w:t>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rPr>
          <w:b/>
        </w:rPr>
        <w:t>E. 8</w:t>
      </w:r>
    </w:p>
    <w:p>
      <w:r>
        <w:t>Le recourant allègue que le calcul du taux d’invalidité est erroné au motif que l’intimé sous-estime l’importance de ses tâches physiques pour lesquelles son degré d’incapacité de travail est proche de 100 %, qu’il méconnaît que sa tâche principale est la pose de fenêtres ainsi que de portes représentant le 80 % de son chiffre d’affaires et qu’il prend en compte la fabrication de fenêtres en atelier alors que ces fenêtres lui étaient livrées prêtes pour la pose. Pour sa part, l’intimé considère que</w:t>
      </w:r>
    </w:p>
    <w:p>
      <w:r>
        <w:t>A/1932/2007 - 10/15 - ses calculs sont corrects puisqu’ils reposent sur une enquête économique effectuée dans l’entreprise du recourant et tenant compte tant de ses déclarations que de sa comptabilité qui montre une augmentation de son bénéfice net depuis 2005 ce qui rend peu plausible que la pose de fenêtres et portes représentait le 80 % de son temps de travail. En l'espèce, les rapports médicaux des Drs L__________, M__________, N__________ et de la Dresse O_________ ne contiennent pas de divergences importantes quant au diagnostic, à l’incapacité de travail, à la capacité de travail résiduelle de 50 % depuis le 24 octobre 2004 et aux limitations fonctionnelles. En revanche, il existe une divergence fondamentale concernant l’activité résiduelle de travail du recourant exigible dans une activité adaptée du 1er juin 2003 à fin mai 2004 puisque, dans son rapport du 13 janvier 2005, la Dresse O_________ retient une capacité résiduelle de travail de 100 % dans une activité adaptée, alors que les autres médecins attestent une incapacité de travail de 100 % étant précisé que, dans son rapport du 26 janvier 2004, le Dr L__________ considère que le patient peut exercer une activité sédentaire de bureau sans déplacement. Dans son rapport du 13 janvier 2005, la Dresse O_________ ne donne aucune explication quant à son évaluation de la capacité résiduelle de travail du recourant à 50 % du 1er juin 2003 à fin mai 2004. Par conséquent, force est de constater que ledit rapport n’est pas motivé de sorte qu’il ne remplit pas les conditions posées par la jurisprudence pour lui reconnaître une valeur probante. Au surplus, il n’est pas nécessaire de procéder à une instruction complémentaire sur cette question. En effet, étant donné que l’intimé a considéré pour la période dès le 24 octobre 2004 que des mesures d’ordre professionnel n’étaient pas indiquées, car on ne pouvait pas exiger du recourant l’exercice d’une autre activité professionnelle en raison de son statut d’indépendant depuis plus de 25 ans, on ne voit pas pourquoi cet argument ne serait pas également déterminant pour la période entre juin 2003 et fin mai 2004. De plus, en allouant une demi-rente pendant cette période, l’intimé s’est borné à appliquer un taux d’invalidité médico-théorique alors que l’incapacité de travail du recourant dans sa profession était entière, sans respecter les exigences légales imposant d’évaluer l’invalidité en fonction de la méthode de comparaison des revenus (ATFA non publié du 23 janvier 2006, I 29/05, consid. 5.2). Dès lors, pour évaluer correctement le degré d’invalidité du recourant pendant cette période, il aurait dû comparer le revenu dans l’activité de menuisier-ébéniste avec celui que l’assuré pouvait retirer dans une activité simple et répétitive en cas de capacité résiduelle de travail. Or, pour opérer un tel calcul, il n’est possible de prendre en considération le revenu réalisable dans une nouvelle profession que si on peut exiger de l’assuré qu’il mette en pratique sa capacité de travail eu égard à ses circonstances personnelles et après lui avoir accordé un délai d’adaptation adéquat de plusieurs mois (ATF 115 V 133 consid. 2, 111 V 235 consid. 2a; RKUV 2000 KV n°112 122, consid. 3a). Etant donné que l’intimé ne lui a pas accordé un tel délai d’adaptation et que, de toute façon, ce délai n’aurait pris fin qu’au moment où</w:t>
      </w:r>
    </w:p>
    <w:p>
      <w:r>
        <w:t>A/1932/2007 - 11/15 - l’incapacité de travail du recourant était de nouveau de 100 % dans toute activité, il ne lui était, de toute façon, pas possible de réduire la rente d’invalidité pendant cette période. Par conséquent, il y a lieu de confirmer l’incapacité de travail fixée par les médecins du recourant, à savoir 100 % dès l’accident jusqu’au 23 octobre 2004 et 50 % dès le 24 octobre 2004.</w:t>
      </w:r>
    </w:p>
    <w:p>
      <w:r>
        <w:rPr>
          <w:b/>
        </w:rPr>
        <w:t>E. 9</w:t>
      </w:r>
    </w:p>
    <w:p>
      <w:r>
        <w:t>Il reste à déterminer le taux d'invalidité présenté par le recourant.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128 V 30 consid. 1, 104 V 136 consid. 2a et 2b). C'est la méthode ordinaire de comparaison des revenus (art. 28 al. 2 LAI en corrélation avec l'art. 16 LPGA).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 parément les effets de cet empêchement sur la capacité de gain. Une certaine dimi- nution de la capacité de rendement fonctionnelle peut certes, dans le cas d'une per- 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w:t>
      </w:r>
    </w:p>
    <w:p>
      <w:r>
        <w:t>A/1932/2007 - 12/15 - revenu qu'il faut attribuer à ces facteurs (étrangers à l'invalidité) et celle qui revient à la propre prestation de travail de l'assuré (VSI 1998 p. 124 consid. 2c et p. 259 consid. 4a). Le revenu sans invalidité se détermine en règle générale d'après le dernier salaire que l'assuré a obtenu avant l'atteinte à la santé, en tenant compte de l'évolution des salaires jusqu'au moment du prononcé de la décision (ATF 129 V 224 consid. 4.3.1). Si l'assuré exerçait une activité lucrative indépendante avant la survenance de son handicap, il convient de prendre en compte le développement probable que son entreprise aurait eu s'il n'avait pas dû y mettre un terme en raison de son invalidité, au regard des aptitudes professionnelles et personnelles de l'intéressé (RCC 1985 p. 662 s. consid. 3a, 1981 p. 41 consid. 2; DUC, L'assurance-invalidité, in : Schweizerisches Bundesverwaltungsrecht, Soziale Sicherheit, 2ème édition, ch. 218 et note n° 269).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(ESS; ATF 126 V 76 consid. 3b/aa et bb). On se réfère alors à la statistique des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w:t>
      </w:r>
    </w:p>
    <w:p>
      <w:r>
        <w:rPr>
          <w:b/>
        </w:rPr>
        <w:t>E. 10</w:t>
      </w:r>
    </w:p>
    <w:p>
      <w:r>
        <w:t>En l'espèce, les comptes de l'entreprise du recourant font état, d’une part, d'un produit d’exploitation de 160'856 fr. en 1999, 160'780 fr. en 2000, 219'680 fr. en 2001, 153'079 fr. en 2002, 107'442 fr. en 2003, 106'089 fr, en 2004 et 186'332 fr. en 2005 d’autre part, d’un bénéfice d’exploitation de 36'212 fr. en 1999, 39'125 fr. en 2000, 53'307 fr. en 2001, 43'739 fr. en 2002, -18'103 fr. en 2003, 13'484 fr. en 2004 et 71'860 fr. en 2005, soit un bénéfice moyen avant l’accident de 43'096 fr. (172'383 : 4) qui est à comparer à la moyenne du bénéfice d’exploitation obtenu après le début de l'invalidité, soit à 22'414 fr. (67'241 : 3) ce qui donne une différence de revenu de 48 % (43'096 – 22'414 = 20'682 : 43'096 x 100). Or, vu les baisses importantes de bénéfice en 2003 et 2004, puis son augmentation conséquente en 2005 alors que le recourant a engagé son fils dès le 1er janvier 2005, on ne peut guère tirer d'enseignements des comptes d'exploitation dont les variations ne sont pas explicables par l’invalidité du recourant. En effet, dans une conjoncture favorable, il est évident que l'impossibilité pour le recourant d'exécuter</w:t>
      </w:r>
    </w:p>
    <w:p>
      <w:r>
        <w:t>A/1932/2007 - 13/15 - la plupart des travaux lourds sur les chantiers qui, selon lui, représentaient le 80 % de son chiffre d’affaires, a des répercussions économiques importantes sur l'entreprise qu’il a réussi, toutefois, à limiter en développant les activités d’ébénisterie grâce à l’engagement de son fils. En conséquence, il y a trop de facteurs étrangers à l'invalidité qui influencent le revenu de l'entreprise pour que l'on puisse appliquer la méthode ordinaire d'évaluation de l'invalidité. Dès lors, c'est à juste titre que l'intimé a utilisé la méthode extraordinaire d'évaluation de l'invalidité. En application de l'art. 29 al. 1 let. b LAI, pour procéder à la comparaison des revenus, il convient de se placer en 2005. En effet, l’invalidité est de 100 % jusqu’au 23 octobre 2004 puisque le recourant était entièrement incapable de travailler dans l’activité exercée jusqu’ici et, pour la période du 24 octobre jusqu’au 31 janvier 2005, il ne conteste pas la rente entière allouée de sorte que la question du calcul de la rente ne se pose que dès le 1er février 2005. Le recourant ne conteste pas le taux d’incapacité retenu par l’enquêteur dans les trois champs d’activité pas plus que le pourcentage du champ d’activité pour les travaux de direction évalué à 10 %, mais bien le pourcentage des champs d'activité physique sans atteinte à la santé évalué par l’enquêteur à 50 % pour le travail en atelier et à 40 % pour la pose d’objets fabriqués. Dans son recours, il se borne à alléguer que la pose des portes et fenêtres représentait le 80 % de son chiffre d’affaires sans préciser quel était le pourcentage de cette activité dans ses tâches totales. Toutefois, cette question peut rester non résolue car, même en reprenant la pondération de l’intimé concluant à une incapacité de travail de 53 %, le recours doit être admis pour une autre raison, au vu du calcul ci-dessous. A défaut de pouvoir disposer de renseignements concrets fiables sur le revenu qu'aurait pu réaliser le recourant au moment de la décision administrative litigieuse, il convient de se référer aux données salariales ressortant de l'ESS 2004 aussi bien pour établir le revenu sans invalidité qu'avec invalidité (ATFA non publié du</w:t>
      </w:r>
    </w:p>
    <w:p>
      <w:r>
        <w:rPr>
          <w:b/>
        </w:rPr>
        <w:t>E. 13</w:t>
      </w:r>
    </w:p>
    <w:p>
      <w:r>
        <w:t>janvier 2005, I 137/04, consid. 5.1.2 et 5.1.3). Eu égard à la formation du recourant, il y a lieu de prendre en considération le niveau 2 du Secteur Production 20 (travaux du bois, fabrication d’articles en bois) de la table TA1 2004, soit un salaire mensuel pour homme de 5'674 fr., respectivement de 68'088 fr. par année. Pour 2005, il sied d'adapter ces chiffres en fonction de l'évolution des salaires de 2004 à 2005 (0.7 %; tableau T1.05 D20, travaux du bois) ce qui représente un revenu sans invalidité de 68'564 fr. 60 (68'088 + 476.60).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 En conséquence, il est inutile d'adapter ces chiffres à l'horaire hebdomadaire de travail en 2005.</w:t>
      </w:r>
    </w:p>
    <w:p>
      <w:r>
        <w:t>A/1932/2007 - 14/15 - Quant au revenu d'invalide, il s'agit des mêmes salaires statistiques tenant compte d'une capacité résiduelle de travail de 47 %, soit 32’225 fr. 35. L'intimé n'a pas tenu compte de l'abattement prévu par la jurisprudence en cas d'utilisation des salaires statistiques. Or, ainsi que le Tribunal de céans a déjà eu l'occasion de le juger, un tel abattement doit être également appliqué en cas d'utilisation de la méthode extraordinaire d'évaluation de l'invalidité dès lors que les limitations de l'assuré, son âge, sa capacité partielle de travail et la pratique d'activités légères impliquent un salaire moins élevé qu'un travailleur en bonne santé (cf. ATFA non publié du 30 décembre 2003, I 238/03, consid. 5.2 ; ATAS/4844/2006 et ATAS/958/2006). Au vu de ces limitations, un abattement d’au moins 15 % est justifié de sorte que le revenu d'invalide s'élève à 27'391 fr. 55. Par conséquent, le taux d'invalidité du recourant dès le 24 octobre 2004 est de 60 % (68'564.60 – 27'391.55 = 41'173.05 : 68'564.60 x 100) et non pas de 52 % comme retenu à tort par l’intimé de sorte qu’il a droit à un trois-quarts de rente. Etant donné que dès cette date l’assuré a retrouvé une capacité de travail de 50 %, les conditions d’une révision sont réalisées et c’est donc à juste titre que l’intimé a mis un terme à la rente entière dès le 1er février 2005 en application de l’art. 88a al. 1 RAI. 11. Au vu de ce qui précède, le recours sera admis et la décision du 19 avril 2007 sera annulée au sens des considérants. Le recourant obtient gain de cause mais n’est pas représenté par un avocat de sorte qu’il n’a pas droit à des dépens. (VSI 2000/6 p. 337 consid. 5; ATF 110 V 134 consid. 4d; RCC 1984 p. 278; ATFA non publié du 28 novembre 2005, C 189/04 consid. 5). Au vu du sort du recours, il y a lieu de condamner l'intimé au paiement d'un émolument de 500 fr.</w:t>
      </w:r>
    </w:p>
    <w:p>
      <w:r>
        <w:t>A/1932/2007 - 15/15 -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