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ATAS/828/2019 vom 17. September 2019</w:t>
      </w:r>
    </w:p>
    <w:p>
      <w:r>
        <w:t>GE Cour de justice, 2019-09-17, FR</w:t>
      </w:r>
    </w:p>
    <w:p>
      <w:r>
        <w:rPr>
          <w:b/>
        </w:rPr>
        <w:t xml:space="preserve">Quelle: </w:t>
      </w:r>
      <w:r>
        <w:t>https://mcp.opencaselaw.ch/entscheid/ge_gerichte_ATAS_828_2019</w:t>
      </w:r>
    </w:p>
    <w:p>
      <w:r>
        <w:t>FR: GE_GERICHTE ATAS/828/2019 du 17 septembre 2019</w:t>
      </w:r>
    </w:p>
    <w:p>
      <w:r>
        <w:t>IT: GE_GERICHTE ATAS/828/2019 del 17 settembre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 art. 62 al. 1 de la de loi sur la procédure administrative du 12 septembre 1985 [LPA - E 5 10]). Interjeté dans la forme et le délai prévus par la loi, le recours est recevable (art. 56 ss LPGA et 62 ss LPA).</w:t>
      </w:r>
    </w:p>
    <w:p>
      <w:r>
        <w:t>A/1671/2019 - 16/29 -</w:t>
      </w:r>
    </w:p>
    <w:p>
      <w:r>
        <w:rPr>
          <w:b/>
        </w:rPr>
        <w:t>E. 4</w:t>
      </w:r>
    </w:p>
    <w:p>
      <w:r>
        <w:t>a. Le litige porte sur le droit de la recourante à une rente d’invalidité et à des mesures d’ordre professionnel. b. Dans sa réponse au recours, l’intimé relève que la recourante n’a pas contesté l’appréciation médicale faite par l’intimé, ni le refus de rente, ne concluant qu’à l’octroi de mesures d’ordre professionnel. c. Aux termes de l'art. 61 let. d LPGA, le tribunal cantonal des assurances n'est pas lié par les conclusions des parties; il peut réformer, au détriment du recourant, la décision attaquée ou accorder à ce dernier plus qu'il n'avait demandé ; il doit cependant donner aux parties l'occasion de se prononcer ou de retirer le recours. d. En l’espèce, même si la recourante, non représentée par un avocat, n’a pas formellement conclu à l’octroi d’une rente dans son recours, elle a conclu à l’annulation de la décision entreprise. La chambre de céans, qui n’est pas liée par les conclusions des parties et doit apprécier la légalité des décisions attaquées, se doit donc d’examiner si l’intimé était légitimé à lui refuser le droit à une rente d’invalidité, de même que la valeur probante de l’appréciation médicale retenue par l’intimé.</w:t>
      </w:r>
    </w:p>
    <w:p>
      <w:r>
        <w:rPr>
          <w:b/>
        </w:rPr>
        <w:t>E. 4.2</w:t>
      </w:r>
    </w:p>
    <w:p>
      <w:r>
        <w:t>et 123 V 233 consid. 3c ainsi que les références), une personne qui s'occupe du ménage doit faire ce que l'on peut raisonnablement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11.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w:t>
      </w:r>
    </w:p>
    <w:p>
      <w:r>
        <w:t>A/1671/2019 - 21/29 -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t>A/1671/2019 - 22/29 - 12. a. En vertu des art. 28 al. 1 et 29 al. 1 LAI (dans leur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b.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30 consid. 1 et ATF 104 V 136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Le revenu sans invalidité se détermine en règle générale d'après le dernier salaire que l'assuré a obtenu avant l'atteinte à la santé, en tenant compte de l'évolution des salaires jusqu'au moment du prononcé de la décision (ATF 129 V 222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sur la structure des salaires (ci- après : ESS) publiée par l'Office fédéral de la statistique (ci-après : OFS) sur la base de statistiques salariales (ATF 126 V 75 consid. 3b/aa et bb). On se réfère alors à la statistique des salaires bruts standardisés, en se fondant toujours sur la médiane ou valeur centrale (ATF 124 V 321 consid. 3b/bb).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Aussi n’existe-t-il pas, en droit des assurances sociales, un principe selon lequel l’administration ou le juge devrait statuer, dans le doute, en faveur de l’assuré (ATF 126 V 319 consid. 5a).</w:t>
      </w:r>
    </w:p>
    <w:p>
      <w:r>
        <w:t>A/1671/2019 - 23/29 - 14.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15.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16. En l’espèce, l’intimé a retenu comme diagnostics principaux ayant un effet sur la capacité de travail la tendinopathie de la coiffe des rotateurs bilatérale, des gonalgies bilatérales, une gonarthrose débutante et un trouble dépressif récurrent, en rémission. Il a reconnu à la recourante une incapacité de travail de 100 % dans l’activité habituelle, et une capacité de travail de 50 % dans une activité adaptée dès le 24 mai 2018. Sur le plan rhumatologique, le SMR a repris les diagnostics établis par la Dresse M______, qui a estimé la capacité de travail de la recourante comme nulle dans l’activité d’aide de cuisine, et de 50 % dans une activité adaptée. Les conclusions de la Dresse M______ du point de vue rhumatologique n’étant pas contestées par la recourante ou par d’autres médecins, il convient effectivement de s’y référer.</w:t>
      </w:r>
    </w:p>
    <w:p>
      <w:r>
        <w:t>A/1671/2019 - 24/29 - Sur le plan psychiatrique, le SMR s’est fondé sur le rapport établi par la Dresse L______, estimant qu’il était cohérent, qu’il discutait les différentes pièces du dossier et qu’il contenait une synthèse claire. La Dresse L______ a retenu le diagnostic de trouble dépressif récurrent, en rémission, qui n’avait selon elle aucune incidence sur la capacité de travail. Celle-ci était donc, du point de vue psychiatrique, de 100 % de son taux habituel de 80 % dans toute activité simple et répétitive, dès le 24 mai 2018. Elle a rejeté les diagnostics de syndrome douloureux somatoforme persistant, d’anxiété généralisée ou de troubles cognitifs. Elle s’est questionnée sur la présence d’un fonctionnement de personnalité borderline, mais n’a pas pu se prononcer en l’absence de tests psychologiques de personnalité. De son côté, la Dresse G______, psychiatre traitante de la recourante, et Mme F______ ont retenu, outre le trouble dépressif de la recourante, des troubles anxieux, attentionnels et du sommeil. Par ailleurs, le Prof. N______ et M. O______, qui ont examiné la recourante postérieurement à la Dresse L______, ont relevé que l’examen neuropsychologique mettait en évidence un déficit cognitif d’intensité légère, caractérisé par un trouble attentionnel et exécutif, et que ces difficultés cognitives étaient de nature et d’intensité à potentiellement limiter les capacités fonctionnelles de la recourante au quotidien ainsi que pour les sollicitations professionnelles, voire à fortement limiter ses capacités lors de tâches requérant un niveau d’exigence élevé. Dans son second rapport établi en cours de procédure, le SMR a relevé que selon la Dresse L______, les troubles de la mémoire, de la concentration ou de l’attention n’étaient pas objectivés. Cette appréciation est toutefois contredite par celle du Prof. N______ et de M. O______, qui ont, sur la base d’un examen neuropsychologique, mis en évidence un trouble attentionnel et exécutif. Par ailleurs, dans un rapport postérieur à la date de la décision querellée, le Dr Q______ a retenu que la recourante présentait une insomnie multifactorielle et un syndrome d’apnées-hypopnées obstructives du sommeil. Dans leur dernier rapport, la Dresse G______ et Mme F______ ont indiqué qu’un test passé au moins de juin 2019 s’était révélé positif pour le trouble du déficit de l’attention. Il sied de relever que même si ces deux derniers rapports ont été établis postérieurement à la décision litigieuse, ils doivent être pris en considération dans la mesure où ils sont étroitement liés à l’objet du litige et de nature à influencer l’appréciation de la situation au moment où la décision a été rendue. Dans ces circonstances, l’on ne saurait suivre l’avis du SMR, qui se contente de se fonder entièrement sur l’avis de la Dresse L______ sans prendre en considération les avis divergents d’autres spécialistes ayant examiné la recourante, et qui remettent en cause les conclusions de l’experte mandatée par l’assurance perte de gain de son dernier employeur.</w:t>
      </w:r>
    </w:p>
    <w:p>
      <w:r>
        <w:t>A/1671/2019 - 25/29 - La chambre de céans constate enfin qu’aucune appréciation globale de la situation, tenant compte des effets réciproques des différentes atteintes à la santé de la recourante sur sa capacité de travail, n’a été effectuée. Au vu de ce qui précède, la décision contestée repose sur une instruction insuffisante pour permettre à la chambre de céans de trancher le litige, même sous l’angle de la vraisemblance prépondérante.</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 RAMA 1996 n° U 237 p. 36 consid. 3b).</w:t>
      </w:r>
    </w:p>
    <w:p>
      <w:r>
        <w:rPr>
          <w:b/>
        </w:rPr>
        <w:t>E. 7</w:t>
      </w:r>
    </w:p>
    <w:p>
      <w:r>
        <w:t>a. Les atteintes à la santé psychique peuvent, comme les atteintes physiques, entraîner une invalidité au sens de l'art. 4 al. 1 LAI en liaison avec l'art. 8 LPGA.</w:t>
      </w:r>
    </w:p>
    <w:p>
      <w:r>
        <w:t>A/1671/2019 - 17/29 -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 arrêt du Tribunal fédéral 8C_841/2016 du 30 novembre 2017 consid. 4.5.2).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troubles dépressifs de degré léger ou moyen (ATF 143 V 409 consid. 4.5.1). En effet, celles-ci ne peuvent en principe être déterminées ou prouvées sur la base de critères objectifs que de manière limitée. b.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t>A/1671/2019 - 18/29 - c. 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En particulier,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w:t>
      </w:r>
    </w:p>
    <w:p>
      <w:r>
        <w:rPr>
          <w:b/>
        </w:rPr>
        <w:t>E. 12</w:t>
      </w:r>
    </w:p>
    <w:p>
      <w:r>
        <w:t>mars 2018 consid 2.1). 8.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 ATF 117 V 194 consid. 3b ; Pratique VSI 1997 p. 301 ss consid. 2b ; arrêt du Tribunal fédéral 9C_722/2016 du</w:t>
      </w:r>
    </w:p>
    <w:p>
      <w:r>
        <w:rPr>
          <w:b/>
        </w:rPr>
        <w:t>E. 17</w:t>
      </w:r>
    </w:p>
    <w:p>
      <w:r>
        <w:t>L’instruction étant lacunaire, l’étendue concrète de la capacité de travail de la recourante dans une activité adaptée ne peut pas être déterminée sans recourir à une expertise médicale. Au vu des différentes affections dont souffre la recourante, seule une expertise pluridisciplinaire complète et satisfaisant aux réquisits jurisprudentiels topiques (ATF 125 V 351 consid. 3 ; arrêt du Tribunal fédéral des assurances I 731/02 du 25 juillet 2003 consid. 2) permettra de déterminer clairement l’éventuelle capacité de travail résiduelle de la recourante dans une activité adaptée.</w:t>
      </w:r>
    </w:p>
    <w:p>
      <w:r>
        <w:rPr>
          <w:b/>
        </w:rPr>
        <w:t>E. 18</w:t>
      </w:r>
    </w:p>
    <w:p>
      <w:r>
        <w:t>Partant, le recours est partiellement admis, la décision du 1er avril 2019 annulée et la cause renvoyée à l’intimé pour qu’il complète l’instruction, puis rende une nouvelle décision. Il incombera à l’intimé de mettre en œuvre une expertise médicale pluridisciplinaire rhumatologique, psychiatrique et neuropsychologique indépendante, conformément à l’art. 44 LPGA, permettant d’apprécier l’incidence des différents diagnostics retenus par les médecins (à savoir la tendinopathie de la coiffe des rotateurs bilatérale, les gonalgies bilatérales, la gonarthrose débutante, le trouble dépressif récurrent, les troubles attentionnels, anxieux et du sommeil) sur la capacité de travail de la recourante dans une activité adaptée. Il conviendra en particulier que les experts, en motivant dûment leur appréciation, se prononcent sur les diagnostics et limitations fonctionnelles dont souffre la recourante, qu’ils déterminent quel rôle joue chacun d’entre eux sur sa capacité de travail dans une activité adaptée et à quel taux celle-ci pourrait être évaluée.</w:t>
      </w:r>
    </w:p>
    <w:p>
      <w:r>
        <w:rPr>
          <w:b/>
        </w:rPr>
        <w:t>E. 19</w:t>
      </w:r>
    </w:p>
    <w:p>
      <w:r>
        <w:t>a. Se pose ensuite la question de savoir quel statut il convient d'accorder à la recourante. En effet, même si celle-ci n’a pas contesté dans son recours le statut mixte à 50 % retenu par l’intimé, le litige porte, comme précédemment mentionné, sur la légalité de la décision de l’intimé de lui refuser le droit à une rente d’invalidité et à des mesures d’ordre professionnel. Dans la mesure où le taux retenu peut avoir une influence sur la rente, il convient d’examiner cette question. b. En l’espèce, l’intimé a retenu un statut mixte, à raison de 50 % pour l’activité lucrative et de 50 % pour les tâches ménagères. La qualification du statut mixte ne peut être que confirmée, la recourante ayant dans le passé principalement exercé des activités lucratives à temps partiel. Il y a en revanche lieu d'examiner la question de la répartition des taux.</w:t>
      </w:r>
    </w:p>
    <w:p>
      <w:r>
        <w:t>A/1671/2019 - 26/29 - L’intimé a retenu un statut mixte à 50 % en se fondant sur le pourcentage auquel il avait estimé que la recourante travaillait dans son dernier emploi. Or, l’exact pourcentage auquel la recourante travaillait lors de son dernier emploi ne ressort pas clairement du dossier. Dans le questionnaire pour l’employeur adressé à l’intimé le 6 avril 2017, E______ SA avait indiqué que la recourante travaillait à hauteur de vingt-et-une heures par semaine, soit l’équivalent d’un 50 %. Pourtant, à teneur de l’attestation établie le 11 septembre 2017 par ce même employeur, elle travaillait à 80 %. C’est également ce taux que la recourante avait annoncé lors de sa demande de prestations du 22 mars 2018. En tout état de cause, l’intimé ne pouvait se fonder sur la dernière activité exercée par la recourante, qui n’a duré que quelques semaines, pour fixer un statut mixte à 50 %. En effet, lors de l’enquête économique sur le ménage, la recourante a indiqué que, sans atteinte à la santé, elle exercerait une activité à 80 % ou à 100 %. Elle avait toujours recherché une activité à ce taux mais n’avait pas toujours eu la possibilité de le faire, et si elle avait parfois accepté des emplois à un taux inférieur, c’était par défaut. À teneur de son parcours professionnel tel que relaté dans l’enquête ménagère, la recourante a exercé divers emplois à 80 % et à 50 % depuis son arrivée en Suisse. Durant ses périodes de chômage, elle a recherché des postes à 100 %. Il ressort enfin du dossier que la recourante n’a pas d’enfants à charge, et que son conjoint perçoit un salaire de CHF 6'000.- par mois pour un travail à 100 % dans l’édition, soit un revenu relativement modeste. Il n'apparaît ainsi pas établi, au degré de la vraisemblance prépondérante requis par la jurisprudence, que sans atteinte à la santé, elle n’aurait travaillé qu’à 50 %. De même, dans la mesure où il ressort de son parcours qu’elle n’a jamais été employée à 100 %, ne saurait-on retenir ce taux. Au vu de sa situation personnelle et familiale et des revenus de son époux, il convient de considérer qu’elle aurait effectivement travaillé à 80 % si elle était valide. Par conséquent, c'est un statut mixte avec la répartition 80 % / 20 % qui doit être reconnu à la recourante.</w:t>
      </w:r>
    </w:p>
    <w:p>
      <w:r>
        <w:rPr>
          <w:b/>
        </w:rPr>
        <w:t>E. 20</w:t>
      </w:r>
    </w:p>
    <w:p>
      <w:r>
        <w:t>Il sied enfin d’examiner la conclusion de la recourante visant à l’octroi de mesures d’ordre professionnel, afin de l’aider à retrouver un emploi en milieu ordinaire. a.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w:t>
      </w:r>
    </w:p>
    <w:p>
      <w:r>
        <w:t>A/1671/2019 - 27/29 -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b. En l’espèce, l’intimé a refusé des mesures d’ordre professionnel à la recourante, au motif qu’elles ne seraient pas de nature à réduire le dommage de manière notable, ne permettant pas d’augmenter sa capacité de gain. Or, les mesures de réadaptation n’ont pas pour unique but d’améliorer la capacité de gain d’assurés invalides ou menacés d’invalidité, mais également de rétablir ou maintenir leur capacité de gain (art. 8 al. 1 let. a LAI). Par conséquent, dans le cadre de l’instruction complémentaire que devra effectuer l’intimé, il conviendra également d’examiner cas échéant le droit à des mesures d’ordre professionnel.</w:t>
      </w:r>
    </w:p>
    <w:p>
      <w:r>
        <w:rPr>
          <w:b/>
        </w:rPr>
        <w:t>E. 21</w:t>
      </w:r>
    </w:p>
    <w:p>
      <w:r>
        <w:t>Au vu de ce qui précède, le recours sera partiellement admis. La décision entreprise sera annulée et le dossier renvoyé à l’intimé pour instruction complémentaire dans le sens des considérants qui précèdent, et nouvelle décision.</w:t>
      </w:r>
    </w:p>
    <w:p>
      <w:r>
        <w:t>A/1671/2019 - 28/29 -</w:t>
      </w:r>
    </w:p>
    <w:p>
      <w:r>
        <w:rPr>
          <w:b/>
        </w:rPr>
        <w:t>E. 22</w:t>
      </w:r>
    </w:p>
    <w:p>
      <w:r>
        <w:t>Bien qu’elle obtienne partiellement gain de cause, aucune indemnité ne sera octroyée à la recourante, qui n’est pas représentée par un avocat (art. 61 let. g LPGA; art. 6 du règlement sur les frais, émoluments et indemnités en matière administrative du 30 juillet 1986 [RFPA - E 5 10.03] ; art. 89 H LPA).</w:t>
      </w:r>
    </w:p>
    <w:p>
      <w:r>
        <w:rPr>
          <w:b/>
        </w:rPr>
        <w:t>E. 23</w:t>
      </w:r>
    </w:p>
    <w:p>
      <w:r>
        <w:t>Étant donné que, depuis le 1er juillet 2006, la procédure n'est plus gratuite (art. 69 al. 1bis LAI), au vu du sort du recours, il y a lieu de condamner l'intimé au paiement d'un émolument de CHF 200.-.</w:t>
      </w:r>
    </w:p>
    <w:p>
      <w:r>
        <w:t>A/1671/2019 - 29/29 -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