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ATAS/827/2019 vom 11. Juni 2017</w:t>
      </w:r>
    </w:p>
    <w:p>
      <w:r>
        <w:t>GE Cour de justice, 2017-06-11, FR</w:t>
      </w:r>
    </w:p>
    <w:p>
      <w:r>
        <w:rPr>
          <w:b/>
        </w:rPr>
        <w:t xml:space="preserve">Quelle: </w:t>
      </w:r>
      <w:r>
        <w:t>https://mcp.opencaselaw.ch/entscheid/ge_gerichte_ATAS_827_2019</w:t>
      </w:r>
    </w:p>
    <w:p>
      <w:r>
        <w:t>FR: GE_GERICHTE ATAS/827/2019 du 11 juin 2017</w:t>
      </w:r>
    </w:p>
    <w:p>
      <w:r>
        <w:t>IT: GE_GERICHTE ATAS/827/2019 del 11 giugno 2017</w:t>
      </w:r>
    </w:p>
    <w:p>
      <w:pPr>
        <w:pStyle w:val="Heading2"/>
      </w:pPr>
      <w:r>
        <w:t>Erwägungen</w:t>
      </w:r>
    </w:p>
    <w:p>
      <w:r>
        <w:rPr>
          <w:b/>
        </w:rPr>
        <w:t>E. 5</w:t>
      </w:r>
    </w:p>
    <w:p>
      <w:r>
        <w:t>En date du 8 mai 2014, la chambre de céans a informé les parties de sa décision de mettre en œuvre une nouvelle expertise et leur a communiqué le nom des experts, soit les docteurs I______, rhumatologue, et J______, psychiatre. Après moultes péripéties quant à la désignation des experts, la chambre de céans a, par ordonnance du 11 février 2015, confié la mission d’expertise aux Drs J______ et K______. L’expertise bidisciplinaire rhumatologique et psychiatrique a été établie le 1er mars 2016.</w:t>
      </w:r>
    </w:p>
    <w:p>
      <w:r>
        <w:rPr>
          <w:b/>
        </w:rPr>
        <w:t>E. 6</w:t>
      </w:r>
    </w:p>
    <w:p>
      <w:r>
        <w:t>Dans ses écritures du 14 avril 2016, l’assurée a conclu, préalablement, à ce que soit ordonné un complément d’expertise bidisciplinaire aux fins d’évaluer son incapacité de travail conformément à la nouvelle jurisprudence relative au trouble somatoforme, et, principalement, à ce que la décision du 18 juin 2009 soit annulée et à ce qu’il lui soit alloué une rente entière d’invalidité dès le 1er septembre 2005. Le 3 mai 2016, l’OAI a également proposé la mise sur pied d’un complément d’instruction.</w:t>
      </w:r>
    </w:p>
    <w:p>
      <w:r>
        <w:rPr>
          <w:b/>
        </w:rPr>
        <w:t>E. 7</w:t>
      </w:r>
    </w:p>
    <w:p>
      <w:r>
        <w:t>La chambre de céans a adressé une demande de complément d’expertise au Dr J______ le 5 septembre 2016. Après avoir vainement tenté d’obtenir de celui-ci le complément d’expertise requis, la chambre de céans a finalement informé les parties qu’elle entendait confier le soin de réaliser une expertise au docteur L______, spécialiste FMH en psychiatrie. Le 26 juin 2018, la chambre de céans a ordonné une expertise psychiatrique, rappelant que le Dr K______ avait déjà rendu son expertise le 1er mars 2016, et en a confié le mandat au Dr L______.</w:t>
      </w:r>
    </w:p>
    <w:p>
      <w:r>
        <w:rPr>
          <w:b/>
        </w:rPr>
        <w:t>E. 8</w:t>
      </w:r>
    </w:p>
    <w:p>
      <w:r>
        <w:t>Le Dr L______ a établi son rapport le 28 mars 2019. Il en résulte que la capacité de travail de l’assurée est de 50% sans baisse de rendement depuis juillet 2011, en lien avec les limitations fonctionnelles d’un trouble dépressif récurrent moyen, avec syndrome somatique, et de 50% dans un emploi adapté aux limitations rhumatologiques. Le pronostic psychiatrique est réservé, tenant compte de la chronicité des troubles. La situation n’est pas stabilisée et devrait être réévaluée dans une année, après amélioration de la prise en charge pharmacologique.</w:t>
      </w:r>
    </w:p>
    <w:p>
      <w:r>
        <w:t>A/3009/2009 - 4/7 -</w:t>
      </w:r>
    </w:p>
    <w:p>
      <w:r>
        <w:rPr>
          <w:b/>
        </w:rPr>
        <w:t>E. 9</w:t>
      </w:r>
    </w:p>
    <w:p>
      <w:r>
        <w:t>Par courrier du 30 avril 2019, l’OAI, se fondant sur la note du SMR du 29 avril 2019, a admis une capacité de travail de 50% dans une activité adaptée aux limitations fonctionnelles rhumatologiques à partir du mois de juillet 2011.</w:t>
      </w:r>
    </w:p>
    <w:p>
      <w:r>
        <w:rPr>
          <w:b/>
        </w:rPr>
        <w:t>E. 10</w:t>
      </w:r>
    </w:p>
    <w:p>
      <w:r>
        <w:t>Le 15 mai 2019, l’assurée a conclu à l’octroi d’une demi-rente d’invalidité dès le 1er juillet 2011, et à une rente entière d’invalidité dès le 1er juillet 2017, suite au décès de son mari survenu le 11 juin 2017, et enfin à ce que les frais d’expertise du Dr L______, ainsi que toutes les autres expertises, soient mises à la charge de l’OAI.</w:t>
      </w:r>
    </w:p>
    <w:p>
      <w:r>
        <w:rPr>
          <w:b/>
        </w:rPr>
        <w:t>E. 11</w:t>
      </w:r>
    </w:p>
    <w:p>
      <w:r>
        <w:t>Le 11 juin 2019, l’OAI a pris note des conclusions de l’assurée portant sur le droit à une rente entière d’invalidité à compter du 1er juillet 2017 et constaté que celles-ci sortaient du cadre du litige.</w:t>
      </w:r>
    </w:p>
    <w:p>
      <w:r>
        <w:rPr>
          <w:b/>
        </w:rPr>
        <w:t>E. 12</w:t>
      </w:r>
    </w:p>
    <w:p>
      <w:r>
        <w:t>Sur ce, la cause a été gardée à juger. EN DROIT 1. Il résulte des conclusions du Dr L______ du 28 mars 2019 que la capacité de travail de l’assurée est de 50%, sans baisse de rendement, depuis juillet 2011. L’OAI en a pris acte. Il se justifie dès lors de reconnaître le droit de l’assurée à une demi-rente d’invalidité dès le 1er juillet 2011. 2. a. L’assurée a également conclu à l’octroi d’une rente entière d’invalidité dès le 1er juillet 2017, suite au décès de son mari survenu le 11 juin 2017.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les rapports juridiques non litigieux sont certes compris dans l'objet de la contestation, mais non pas dans l'objet du litige (ATF 131 V 164 consid. 2.1 ; ATF 125 V 413 consid. 1b et 2 et les références citées).</w:t>
      </w:r>
    </w:p>
    <w:p>
      <w:r>
        <w:t>A/3009/2009 - 5/7 -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 voir aussi ATF 122 V 34 consid. 2a ; arrêt du Tribunal fédéral 9C_406/2012 du 18 septembre 2012 consid. 3.1).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c. En l’espèce, dans sa décision du 18 juin 2009 - qui détermine l’objet de la contestation -, l’OAI a rejeté la nouvelle demande de prestations, considérant qu’il n’y avait pas d’aggravation notable et durable de l’état de santé de l’assurée et que sa capacité de travail était totale. Aussi les conclusions de l’assurée visant à l’octroi d’une rente entière d’invalidité au vu du décès de son époux, le 11 juin 2017, sortent du cadre du litige, de sorte qu’elles sont irrecevables. L’OAI a à cet égard précisé qu’il laissait le soin à la caisse de compensation compétente d’examiner s’il convenait de modifier le droit à la rente d’invalidité de l’assurée suite au décès de son époux. 3. Le recours est, partant, admis, en ce sens que l’assurée a droit à une demi-rente d’invalidité à compter du 1er juillet 2011. Dans ses arrêts antérieurs (notamment ATF 127 V 196), le Tribunal fédéral a rappelé la règle de la gratuité de la procédure devant le tribunal cantonal des assurances et son exception - témérité ou légèreté d'une partie au procès - prévues par le droit fédéral (art. 61 let. a LPGA). Puis, à l'ATF 137 V 210, en jugeant que l'expertise judiciaire est la règle au lieu du renvoi à l'administration pour instruction complémentaire, il a précisé que les coûts de l'expertise judiciaire peuvent être mis à la charge de l'assureur social lorsque les mesures d'instruction sont indispensables pour l'appréciation du droit ou sont comprises dans les prestations octroyées après coup au sens de l'art. 45 al. 1 LPGA. (consid. 4.4.2). 4. En l'espèce, il s'est avéré indispensable d'ordonner une expertise rhumatologique et psychiatrique pour mener à bien l'instruction complémentaire voulue par le TF dans son arrêt du 18 septembre 2013. Par conséquent, les coûts de ladite expertise, soit CHF 9'339.95.- (CHF 3'825.- et CHF 5'514.95), - selon les factures des 29 février</w:t>
      </w:r>
    </w:p>
    <w:p>
      <w:r>
        <w:t>A/3009/2009 - 6/7 - 2016 et 27 mars 2019 des Drs K______ et L______, doivent être mis à la charge de l'OAI (cf. art. 45 al. 1 LPGA). *****</w:t>
      </w:r>
    </w:p>
    <w:p>
      <w:r>
        <w:t>A/3009/2009 - 7/7 -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