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ATAS/827/2011 vom 6. September 2011</w:t>
      </w:r>
    </w:p>
    <w:p>
      <w:r>
        <w:t>GE Cour de justice, 2011-09-06, FR</w:t>
      </w:r>
    </w:p>
    <w:p>
      <w:r>
        <w:rPr>
          <w:b/>
        </w:rPr>
        <w:t xml:space="preserve">Quelle: </w:t>
      </w:r>
      <w:r>
        <w:t>https://mcp.opencaselaw.ch/entscheid/ge_gerichte_ATAS_827_2011</w:t>
      </w:r>
    </w:p>
    <w:p>
      <w:r>
        <w:t>FR: GE_GERICHTE ATAS/827/2011 du 6 septembre 2011</w:t>
      </w:r>
    </w:p>
    <w:p>
      <w:r>
        <w:t>IT: GE_GERICHTE ATAS/827/2011 del 6 settembre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et les modifications de la LAI relatives à la 4ème et à la 5ème révisions, entrées en vigueur respectivement en date des 1er janvier 2004 et 1er janvier 2008 sont applicables au cas d'espèce, les faits pertinents remontant au mois d’août 2010 et la décision datant du 18 janvier 2011.</w:t>
      </w:r>
    </w:p>
    <w:p>
      <w:r>
        <w:rPr>
          <w:b/>
        </w:rPr>
        <w:t>E. 3</w:t>
      </w:r>
    </w:p>
    <w:p>
      <w:r>
        <w:t>Interjeté dans les formes et délai prescrits par la loi, le présent recours est recevable (art. 56 à 61 LPGA).</w:t>
      </w:r>
    </w:p>
    <w:p>
      <w:r>
        <w:rPr>
          <w:b/>
        </w:rPr>
        <w:t>E. 4</w:t>
      </w:r>
    </w:p>
    <w:p>
      <w:r>
        <w:t>Le litige porte sur le droit de la recourante à une rente supérieure à une demi-rente d’invalidité, dans le cadre d’une révision de son dossier par l’intimé.</w:t>
      </w:r>
    </w:p>
    <w:p>
      <w:r>
        <w:rPr>
          <w:b/>
        </w:rPr>
        <w:t>E. 5</w:t>
      </w:r>
    </w:p>
    <w:p>
      <w:r>
        <w:t>Il s’agit d’examiner s’il y a un motif de révision comme le soutient la recourante.</w:t>
      </w:r>
    </w:p>
    <w:p>
      <w:r>
        <w:rPr>
          <w:b/>
        </w:rPr>
        <w:t>E. 6</w:t>
      </w:r>
    </w:p>
    <w:p>
      <w:r>
        <w:t>a) 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 ; ATF 130 V 343, consid. 3.5.2).</w:t>
      </w:r>
    </w:p>
    <w:p>
      <w:r>
        <w:t>A/470/2011 - 11/16 -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(ATFA non publiés des 13 juillet 2006, I 406/05, consid. 4.1 et 31 janvier 2003, I 559/02, consid. 3.2 et les arrêts cités).</w:t>
      </w:r>
    </w:p>
    <w:p>
      <w:r>
        <w:rPr>
          <w:b/>
        </w:rPr>
        <w:t>E. 7</w:t>
      </w:r>
    </w:p>
    <w:p>
      <w:r>
        <w:t>a)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b) Pour pouvoir calculer le degré d’invalidité, l’administration (ou le juge, s’il y a eu un recours) a besoin de documents qu’un médecin, éventuellement d’autres spécialistes, doivent lui fournir. La tâche du médecin consiste à porter un jugement</w:t>
      </w:r>
    </w:p>
    <w:p>
      <w:r>
        <w:t>A/470/2011 - 12/16 -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a) En l’espèce, il convient de déterminer si l’état de santé de la recourante s’est péjoré, comme celle-ci le soutient, entre la décision initiale d’octroi de rente du 20 août 1996 et la décision du 18 janvier 2011. En effet, la décision du 20 août 1996 est la dernière décision reposant sur un examen matériel du droit à la rente avec constatation des faits pertinents et appréciation des preuves, ce que les parties admettent toutes deux, à tout le moins implicitement. b) Appelés à se prononcer, dans le cadre de la procédure administrative ayant abouti à l’octroi d’une demi-rente d’invalidité, les médecins des HUG, lesquels avaient notamment procédé à des examens ophtalmologique et psychiatrique, ont posé, dans leur rapport du 22 février 1996, les diagnostics suivants : une conjonctivite tarsale avec état irritatif chronique d’origine indéterminée, une dépression majeure de degré moyen avec trouble de la personnalité limite et narcissique, un diabète non insulinodépendant, une hypertension artérielle, une hypothyroïdie substituée et une obésité (BMI à 35 kg/m²). Ils ont également relevé la présence d’une discrète dyspnée à l’effort. Les médecins ont déterminé que les atteintes somatiques décrites dans le rapport, et notamment les atteintes oculaires, étaient bien compensées par les traitements médicamenteux et qu’elles n’avaient pas d’incidence sur l’exercice d’une activité lucrative, cependant, l’état dépressif et surtout le trouble de la personnalité justifiaient une rente d’invalidité de 50%, ce pour autant que la recourante poursuive sa médication antidépressive et sa thérapie psychiatrique. Les constatations de ces médecins avaient été confirmées, en substance, tant par le psychiatre traitant de la recourante, lequel avait retenu, en date du 22 mai 1996, une dépression majeure chez une personnalité à forts traits paranoïaques, que par les ophtalmologues l’ayant suivi, lesquels n’avaient pas conclu à une atteinte ophtalmologique ayant une répercussion sur sa capacité de travail, étant précisé que</w:t>
      </w:r>
    </w:p>
    <w:p>
      <w:r>
        <w:t>A/470/2011 - 13/16 - des certificats d’arrêt de travail étaient susceptibles d’être délivrés lors des poussées d’exacerbation de la kérato-conjonctivite gauche. C’est sur la base de ces éléments que l’intimé avait alloué à la recourante une demi- rente d’invalidité dès le 1er janvier 1994. c) Dans le cadre de la procédure de révision s’étant ouverte en août 2010, la recourante estime que son état de santé s’était péjoré par rapport à celui existant en 1996. c/aa) Elle invoque tout d’abord l’apparition de douleurs ostéo-articulaires, pour lesquelles elle avait consulté le Dr T__________. Elle ne produit toutefois pas de rapport de ce médecin, mais un rapport d’imagerie médicale du bassin et du genou gauche, daté du 28 mars 2006, lequel conclut notamment à une arthrose interapophysaire postérieure en L4-L5, à des lésions dégénératives à la hauteur des articulations sacro-iliaques, à un signe de coxarthrose bilatérale ou encore à un signe de gonarthrose et d’arthrose fémoro-patellaire. Il est vrai que la Dresse R__________, laquelle suit la recourante depuis le début de l’année 2010, a indiqué que celle-ci souffrait de douleurs articulaires et qu’elle ne pouvait pas maintenir longtemps la même posture, elle n’a toutefois pas posé de diagnostic en rapport avec ces troubles articulaires et dorso-lombaires. Quant à la Dresse N__________, laquelle a établi un rapport durant le mois de mai 2005, elle a précisé que les troubles dégénératifs cervico-dorso-lombaires et la gonarthrose bilatérale de la recourante n’avaient pas de répercussion sur sa capacité de travail. Dès lors, la Cour de céans retient que si des troubles ostéo-articulaires et des troubles dégénératifs de la région cervico-dorso-lombaire sont certes apparus depuis 1996, ils ne limitent toutefois pas la capacité de travail de la recourante. c/bb) En outre, celle-ci soutient également souffrir d’une dyspnée d’effort, laquelle réduirait sa mobilité. Force est de constater à cet égard, avec l’intimé, que la dyspnée était déjà présente lors de l’octroi initial de rente, ce qui ressort du rapport d’expertise des médecins des HUG du 22 février 1996. On ne voit d’ailleurs pas en quoi cette affection réduirait la capacité de travail de la recourante dans l’activité d’employée de bureau ou d’enseignante de l’histoire de l’art. Partant, ce trouble ne permet pas de retenir une péjoration de son état de santé. c/cc) Quant au diabète dont souffre la recourante depuis 1989, il est devenu dernièrement insulinodépendant, de sorte que ce trouble a effectivement évolué dans le sens d’une péjoration depuis 1996. Cependant, il y a lieu de relever que la Dresse Q__________, spécialiste en endocrinologie-diabétologie et qui suit la recourante pour cette affection dans le but d’optimiser sa prise en charge, a certes</w:t>
      </w:r>
    </w:p>
    <w:p>
      <w:r>
        <w:t>A/470/2011 - 14/16 - mis en exergue qu’un équilibre glycémique était difficile à obtenir, toutefois, elle a proposé une nouvelle prise en charge et n’a pas pu se prononcer sur une limitation qui découlerait de l’existence du diabète, renvoyant l’intimé, pour ce faire, à l’appréciation du médecin traitant, soit la Dresse R__________. Celle-ci a quant à elle estimé que le diabète était traité et n’a pas retenu de limitation fonctionnelle découlant directement de cette atteinte. Partant, il convient de retenir que l’aggravation du diabète n’a pas de répercussion sur la capacité de travail de la recourante. c/dd) En ce qui concerne les troubles psychiatriques, lesquels ont motivé l’octroi de la demi-rente en 1996, la Cour de céans doit constater qu’ils sont toujours présents, toutefois, bien que l’assurée ait repris, après une interruption de plusieurs années, un suivi psychiatrique auprès de la Dresse A__________ dès le 16 juin 2011, soit postérieurement à l'audience de comparution, il ne résulte pas des documents présents au dossier une aggravation desdits troubles. c/ee) Pour ce qui est enfin des atteintes touchant la région abdominale, il y a lieu de rappeler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En l’espèce, ces troubles de la région abdominale ont été mis en évidence par l’échographie du 17 juin 2011 et par le Dr W__________ en date du 23 juin 2011, soit postérieurement à la décision litigieuse, et ne sauraient dès lors être inclus dans le cadre du présent litige. Si ceux-ci engendraient ou devaient engendrer dans le futur une diminution prolongée de la capacité de travail, la recourante pourra solliciter, auprès de l’intimé, une nouvelle révision de son droit à la rente.</w:t>
      </w:r>
    </w:p>
    <w:p>
      <w:r>
        <w:rPr>
          <w:b/>
        </w:rPr>
        <w:t>E. 9</w:t>
      </w:r>
    </w:p>
    <w:p>
      <w:r>
        <w:t>Eu égard à ces éléments, force est de constater qu’entre le 20 août 1996 et le 18 janvier 2011, l’état de santé de la recourante ne s’est pas aggravé, au degré de la vraisemblance prépondérante, dans une mesure influençant sa capacité de travail. C’est ainsi à juste titre que l’intimé a refusé d’augmenter la demi-rente octroyée à la recourante durant le mois d’août 1996.</w:t>
      </w:r>
    </w:p>
    <w:p>
      <w:r>
        <w:rPr>
          <w:b/>
        </w:rPr>
        <w:t>E. 10</w:t>
      </w:r>
    </w:p>
    <w:p>
      <w:r>
        <w:t>La procédure de recours en matière de contestations portant sur l’octroi ou le refus de prestations de l’AI étant soumise à des frais de justice (art. 69 al. 1bis LAI), un émolument de 200 fr. sera mis à la charge de la recourante.</w:t>
      </w:r>
    </w:p>
    <w:p>
      <w:r>
        <w:t>A/470/2011 - 15/16 -</w:t>
      </w:r>
    </w:p>
    <w:p>
      <w:r>
        <w:t>A/470/2011 - 16/16 -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