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ATAS/827/2010 vom 1. Oktober 2009</w:t>
      </w:r>
    </w:p>
    <w:p>
      <w:r>
        <w:t>GE Cour de justice, 2009-10-01, FR</w:t>
      </w:r>
    </w:p>
    <w:p>
      <w:r>
        <w:rPr>
          <w:b/>
        </w:rPr>
        <w:t xml:space="preserve">Quelle: </w:t>
      </w:r>
      <w:r>
        <w:t>https://mcp.opencaselaw.ch/entscheid/ge_gerichte_ATAS_827_2010</w:t>
      </w:r>
    </w:p>
    <w:p>
      <w:r>
        <w:t>FR: GE_GERICHTE ATAS/827/2010 du 1 octobre 2009</w:t>
      </w:r>
    </w:p>
    <w:p>
      <w:r>
        <w:t>IT: GE_GERICHTE ATAS/827/2010 del 1 ottobre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des seuls avoirs du demandeur. Les</w:t>
      </w:r>
    </w:p>
    <w:p>
      <w:r>
        <w:t>A/1018/2010 4/5 dates pertinentes sont, d’une part, le 9 octobre 1986, date du mariage, d’autre part le et le 7 novembre 2009, date à laquelle le jugement de divorce est devenu exécutoire.</w:t>
      </w:r>
    </w:p>
    <w:p>
      <w:r>
        <w:rPr>
          <w:b/>
        </w:rPr>
        <w:t>E. 4</w:t>
      </w:r>
    </w:p>
    <w:p>
      <w:r>
        <w:t>Selon les documents produits, la prestation acquise pendant le mariage par le demandeur s'élève à 318'554 fr. 50 (356'264.30 - 37'709.80) les intérêts ayant déjà été calculés par l’institution de prévoyance défenderesse. Ainsi le demandeur doit à son ex-épouse le montant de 159'277 fr. 25 (318'554.50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A/1018/2010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