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ATAS/826/2014 vom 30. Juni 2014</w:t>
      </w:r>
    </w:p>
    <w:p>
      <w:r>
        <w:t>GE Cour de justice, 2014-06-30, FR</w:t>
      </w:r>
    </w:p>
    <w:p>
      <w:r>
        <w:rPr>
          <w:b/>
        </w:rPr>
        <w:t xml:space="preserve">Quelle: </w:t>
      </w:r>
      <w:r>
        <w:t>https://mcp.opencaselaw.ch/entscheid/ge_gerichte_ATAS_826_2014</w:t>
      </w:r>
    </w:p>
    <w:p>
      <w:r>
        <w:t>FR: GE_GERICHTE ATAS/826/2014 du 30 juin 2014</w:t>
      </w:r>
    </w:p>
    <w:p>
      <w:r>
        <w:t>IT: GE_GERICHTE ATAS/826/2014 del 30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Lorsqu'un cas de prévoyance est déjà survenu pour l'un des époux, le partage de la prestation de sortie ne peut être effectué par la caisse de prévoyance au sens de l'art. 141 CC. La nouvelle réglementation en matière de prévoyance fait en effet une distinction selon que le divorce est prononcé avant la survenance d'un cas de prévoyance (art. 122 et 123 CC) ou après (art. 124 CC). La survenance effective d'un cas de prévoyance rend le partage des avoirs de prévoyance impossible, si minimes soient les prestations versées ou les avoirs à leur base. Dans cette hypothèse, la seule possibilité qui reste au juge du divorce est de fixer le montant de</w:t>
      </w:r>
    </w:p>
    <w:p>
      <w:r>
        <w:t>A/3977/2013 4/6 l'indemnité équitable en tenant compte de cet élément (SUTTER/FREIBURGHAUS, op. cit., ad. Art. 124 n°3). Par survenance d’un cas de prévoyance au sens des art. 122 et 124 CC, il faut entendre la naissance d’un droit concret à des prestations de la prévoyance professionnelle, qui rend impossible le partage des avoirs de prévoyance à la base des prestations servies (cf. Ueli KIESER, Ehescheidung und Eintritt des Vorsorgefalles der berufliche Vorsorge – Hinweise für die Praxis, PJA 2001, p. 155 ; voir ég. ATF 133 V 288 consid. 4.1.2). En cas de divorce, la survenance du cas de prévoyance « vieillesse »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 le partage de celle-ci est donc possible et le conjoint y a droit en vertu de l’art. 122 al. a CC (ATF 130 III 297, consid. 33.1 ; 129 V 444 ; ATFA B 19/05 du 28 juin 2005, consid. 5.1). Pour le surplus, à teneur des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3</w:t>
      </w:r>
    </w:p>
    <w:p>
      <w:r>
        <w:t>En l’espèce, la chambre de céans relève préalablement que contrairement à ce que soutient la défenderesse, un cas de prévoyance n’est pas survenu, dans la mesure où la demanderesse ne perçoit pas effectivement des prestations de vieillesse. Le partage des avoirs de prévoyance est donc possible. Cela étant, le juge de première instance a ordonné le partage par moitié des seuls avoir de prévoyance acquis durant le mariage par le demandeur, soit du 13 décembre 1985 au 10 septembre 2013, date à laquelle le jugement de divorce est devenu exécutoire. Le juge civil a en effet considéré que l’avoir de la demanderesse est particulièrement faible dès lors qu’il ne générera qu’une rente mensuelle de CH 127.-, de sorte qu’un tel partage n’est pas inéquitable (consid. E du jugement de divorce). Il n’est nullement fait allusion à une indemnité équitable au sens de l’art. 124 CC. Par conséquent, la chambre de céans exécutera le jugement conformément à la décision du juge civil. Selon les documents produits, la prestation acquise pendant le mariage par le demandeur est de CHF 420'688,40, les intérêts ayant déjà été calculés par</w:t>
      </w:r>
    </w:p>
    <w:p>
      <w:r>
        <w:t>A/3977/2013 5/6 l’institution de prévoyance défenderesse. Ainsi le demandeur doit à son ex-épouse le montant de CHF 210'344,20 (CHF 420'688,40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A/3977/2013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