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ATAS/826/2013 vom 27. August 2013</w:t>
      </w:r>
    </w:p>
    <w:p>
      <w:r>
        <w:t>GE Cour de justice, 2013-08-27, FR</w:t>
      </w:r>
    </w:p>
    <w:p>
      <w:r>
        <w:rPr>
          <w:b/>
        </w:rPr>
        <w:t xml:space="preserve">Quelle: </w:t>
      </w:r>
      <w:r>
        <w:t>https://mcp.opencaselaw.ch/entscheid/ge_gerichte_ATAS_826_2013</w:t>
      </w:r>
    </w:p>
    <w:p>
      <w:r>
        <w:t>FR: GE_GERICHTE ATAS/826/2013 du 27 août 2013</w:t>
      </w:r>
    </w:p>
    <w:p>
      <w:r>
        <w:t>IT: GE_GERICHTE ATAS/826/2013 del 27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et s'applique à la décision de restitution litigieuse.</w:t>
      </w:r>
    </w:p>
    <w:p>
      <w:r>
        <w:rPr>
          <w:b/>
        </w:rPr>
        <w:t>E. 3</w:t>
      </w:r>
    </w:p>
    <w:p>
      <w:r>
        <w:t>Interjeté dans les forme et délai prévus par la loi, le recours est recevable (art. 56 ss LPGA).</w:t>
      </w:r>
    </w:p>
    <w:p>
      <w:r>
        <w:rPr>
          <w:b/>
        </w:rPr>
        <w:t>E. 4</w:t>
      </w:r>
    </w:p>
    <w:p>
      <w:r>
        <w:t>a) Aux termes de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w:t>
      </w:r>
    </w:p>
    <w:p>
      <w:r>
        <w:t>A/1431/2013 - 5/11 - dépasse 37'500 fr. pour les personnes seules, 60'000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c) Par fortune au sens de la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Supplément, p. 96).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w:t>
      </w:r>
    </w:p>
    <w:p>
      <w:r>
        <w:t>A/1431/2013 - 6/11 - En d’autres termes, ne sont à considérer comme fortune imputable au sens de l’art. 11 al. 1 let. c LPC (anciennement art. 3 al. 1 let. b aLPC) que les actifs que l’assuré a effectivement reçus et dont il peut disposer sans restriction (ATF 110 V 17 consid. 3). d) Lorsque l’assuré fait partie d’une succession non partagée, il convient également d'inclure dans le calcul desdites prestations la valeur de sa part dans ladite succession, dès le moment où elle lui échoit et non seulement à partir du moment où le partage est réalisé, soit avant même que celui-ci acquiert le droit d'en disposer (RCC 1992, p. 326, consid. 1b; ATFA non publié P 8/02 du 12 juillet 2002 consid. 3b, et P 54/02 du 17 septembre 2003 RCC 1992 p. 347 consid. 2c ; ATFA non publié P 22/06 du 23 janvier 2007, consid. 5; ATFA non publié P 61/04 du 23 mars 2006, consid. 4). Conformément aux art. 537 al. 1 et 560 du code civil suisse (RS 210 ; CC), les héritiers acquièrent de plein droit l’universalité de la succession dès que celle-ci est ouverte, soit dès la mort du de cujus.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P8/02 du 12 juillet 2002, consid. 3b).</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w:t>
      </w:r>
    </w:p>
    <w:p>
      <w:r>
        <w:t>A/1431/2013 - 7/11 -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VSI 1996 p. 214). Il a modifié cette jurisprudence et admis le paiement d'arriérés dans cette hypothèse dans un récent arrêt de principe (ATF 138 V 298, cons. 5).</w:t>
      </w:r>
    </w:p>
    <w:p>
      <w:r>
        <w:rPr>
          <w:b/>
        </w:rPr>
        <w:t>E. 6</w:t>
      </w:r>
    </w:p>
    <w:p>
      <w:r>
        <w:t>a)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b) Selon l'art. 12 OPGA, l’assureur n’est pas lié par les conclusions de l’opposant. Il peut modifier la décision à l’avantage ou au détriment de l’opposant. Si l’assureur envisage de modifier la décision au détriment de l’opposant, il donne à ce dernier l’occasion de retirer son opposition.</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est établi que la mère de l'assurée est décédée le 11 novembre 2011. Selon la jurisprudence constante du Tribunal fédéral, il convient donc de tenir compte de la part d'héritage qui échoit à l'assurée dès le 1er novembre 2011 et non pas seulement dès le partage effectif de la succession, soit lors du versement de la part en question en octobre 2012, l'exception prévue à ce principe n'étant pas réalisée. Au surplus, le montant de 38'967 fr. n'est pas contesté. C'est donc à juste titre que le SPC a procédé à une révision dès le 1er novembre 2011 par décision du</w:t>
      </w:r>
    </w:p>
    <w:p>
      <w:r>
        <w:t>A/1431/2013 - 8/11 - 24 septembre 2012 et tenu compte depuis lors de cette part d'héritage. Sur ce point, la décision est conforme au droit et le grief de la recourante est mal fondé. S'agissant des autres éléments de la fortune mobilière de l'assurée, ils doivent être fixés conformément à l'avis de taxation au 31 décembre de l'année précédente, le cas échéant sur la base des extraits bancaires à la même date, dans l'hypothèse où l'assurée n'a pas déclaré fiscalement l'ensemble de sa fortune. Une diminution importante de la fortune peut de plus être prise en compte en cours d'année. En l'occurrence, dans le cadre de l'opposition, le SPC a réduit la fortune de 93'533 fr. à 86'546 fr. dès le 1er janvier 2012, sans se prononcer sur la situation au 1er novembre 2011. Suite au recours formé, le SPC a fixé le montant de la fortune pour 2012 et 2013 sur la base des données fiscales (avis de taxation 2011 et déclaration 2012). Il aurait dû en faire de même pour la situation au 1er novembre 2011, le cas échéant en vérifiant la conformité de la taxation fiscale 2010 à l'état des comptes en banque au 31 décembre 2010 et non pas se contenter de reprendre des éléments de fortune établis au 31 décembre 2008 (Crédit Suisse et Raiffeisen). En effet, en cas de révision, l'ensemble des éléments doivent être remis à jour. Pour ce motif, la décision sur opposition doit être annulée. Par ailleurs, la décision du 24 septembre 2012 ne fixe pas le montant des prestations dès le 1er janvier 2013. Or, c'est contre cette seule décision que l'opposition a été formée. Les prestations dès le 1er janvier 2013 auraient dû être fixées par une nouvelle décision du SPC, soumise à opposition et non pas intégrées à la décision sur opposition du 21 mars 2013. Cela est d'autant plus vrai que la mise à jour – erronée – des intérêts de l'épargne – implique en quelque sorte une reformatio in peius non annoncée. Cette nouvelle décision pouvait ainsi être frappée d'opposition avant tout recours. Ainsi, bien que le SPC ait admis après le recours qu'il avait par erreur comptabilisé deux fois la somme ressortant du compte épargne BCG, déjà incluse dans le relevé du porte-feuilles au 31 décembre 2012 et bien que les parties s'accordent sur le montant de la fortune finalement pris en compte dès le 1er janvier 2013 (118'598 fr.), la Cour doit déclarer le recours irrecevable sur ce point et renvoyer la cause au SPC pour qu'il rende une nouvelle décision sur opposition. Aussi, la cause sera renvoyée au SPC afin qu'il rende une décision sur opposition fixant le montant des prestations dès le 1er novembre 2011. La part de l'héritage est déjà connue (38'967 fr.). Reste à déterminer le montant de la fortune mobilière et des intérêts de celle-ci sur la base des avis de taxation pertinents, cas échéant des relevés bancaires, y compris pour la période postérieure au 1er janvier 2013, pour laquelle l'ensemble de la fortune est déjà déterminé.</w:t>
      </w:r>
    </w:p>
    <w:p>
      <w:r>
        <w:rPr>
          <w:b/>
        </w:rPr>
        <w:t>E. 9</w:t>
      </w:r>
    </w:p>
    <w:p>
      <w:r>
        <w:t>Le recours est donc partiellement admis et la décision en partie annulée. La recourante obtient très partiellement gain de cause, sur des aspects formels de la décision qu'elle n'a pas soulevés. Son principal grief concernant la date de prise en</w:t>
      </w:r>
    </w:p>
    <w:p>
      <w:r>
        <w:t>A/1431/2013 - 9/11 - compte de l'héritage a été rejeté, de sorte qu'une indemnité limitée à 200 fr. lui sera allouée eu égard à la partie très restreinte des écritures ayant porté sur la diminution de la fortune au 31 décembre 2012 de 124'585 fr. à 118'598 fr., seul grief admis.</w:t>
      </w:r>
    </w:p>
    <w:p>
      <w:r>
        <w:t>A/1431/2013 - 10/11 -</w:t>
      </w:r>
    </w:p>
    <w:p>
      <w:r>
        <w:t>PAR CES MOTIFS, LA CHAMBRE DES ASSURANCES SOCIALES : Statuant</w:t>
      </w:r>
    </w:p>
    <w:p>
      <w:r>
        <w:t>A la forme : 1. Déclare le recours irrecevable en tant qu'il porte sur la fixation des prestations dès le 1er janvier 2013 et renvoie la cause à l'intimé comme objet de sa compétence sur ce point. 2. Déclare le recours recevable pour le surplus. Au fond : 3. L'admet partiellement et annule la décision sur opposition du 21 mars 2013 dans le sens des considérants. 4. Renvoie la cause à l'intimé pour nouvelle décision sur opposition dans le sens des considérants. 5. La condamne à verser une indemnité de procédure de 200 fr. en faveur de la recourante.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w:t>
      </w:r>
    </w:p>
    <w:p>
      <w:r>
        <w:t>A/1431/2013 - 11/11 -</w:t>
      </w:r>
    </w:p>
    <w:p>
      <w:r>
        <w:t>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