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ATAS/825/2020 vom 30. September 2020</w:t>
      </w:r>
    </w:p>
    <w:p>
      <w:r>
        <w:t>GE Cour de justice, 2020-09-30, FR</w:t>
      </w:r>
    </w:p>
    <w:p>
      <w:r>
        <w:rPr>
          <w:b/>
        </w:rPr>
        <w:t xml:space="preserve">Quelle: </w:t>
      </w:r>
      <w:r>
        <w:t>https://mcp.opencaselaw.ch/entscheid/ge_gerichte_ATAS_825_2020</w:t>
      </w:r>
    </w:p>
    <w:p>
      <w:r>
        <w:t>FR: GE_GERICHTE ATAS/825/2020 du 30 septembre 2020</w:t>
      </w:r>
    </w:p>
    <w:p>
      <w:r>
        <w:t>IT: GE_GERICHTE ATAS/825/2020 del 30 settembre 2020</w:t>
      </w:r>
    </w:p>
    <w:p>
      <w:pPr>
        <w:pStyle w:val="Heading2"/>
      </w:pPr>
      <w:r>
        <w:t>Erwägungen</w:t>
      </w:r>
    </w:p>
    <w:p>
      <w:r>
        <w:rPr>
          <w:b/>
        </w:rPr>
        <w:t>E. 7</w:t>
      </w:r>
    </w:p>
    <w:p>
      <w:r>
        <w:t>Par réplique du 8 juin 2020, la recourante a fait valoir que le délai fixé au 31 mars 2020 pour déposer la demande de RHT auprès de l’OCE n’avait pas été porté à sa connaissance. De plus, suite à la décision brutale prise par le Conseil fédéral de fermer tous les établissements publics, elle avait été obligée de prendre les</w:t>
      </w:r>
    </w:p>
    <w:p>
      <w:r>
        <w:t>A/1287/2020 - 3/5 - dispositions nécessaires pour assurer la bonne fermeture de son établissement, raison pour laquelle la demande de RHT était parvenue à l’intimé un peu après le 31 mars 2020. Son établissement faisait actuellement face à de grosses difficultés financières et le fait de ne pas avoir été indemnisée pendant plusieurs jours chômés alourdissait de manière significative le coût des salaires.</w:t>
      </w:r>
    </w:p>
    <w:p>
      <w:r>
        <w:rPr>
          <w:b/>
        </w:rPr>
        <w:t>E. 8</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du refus de l’intimé de verser à la recourante l’indemnité en cas de RHT pour la période du 17 mars au 1er avril 2020. 4. 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 L’employeur doit remettre le préavis à l’organe compétent ou à la Poste au plus tard le dixième jour qui précède le début de la RHT (art. 29 al. 3 LPGA). Pour lutter contre l’épidémie de coronavirus (ci-après : COVID-19), le Conseil fédéral a pris une série de mesures urgentes. Le 13 mars 2020, il a adopté l’ordonnance 2 COVID-19, qui limitait l’accueil dans les restaurants à 50 personnes (art. 6 al. 4). Le 17 mars 2020, le Conseil fédéral a modifié cette ordonnance en ordonnant cette fois la fermeture des restaurants (art. 6 al. 2 let. b).</w:t>
      </w:r>
    </w:p>
    <w:p>
      <w:r>
        <w:t>A/1287/2020 - 4/5 - Le 20 mars 2020, le Conseil fédéral a adopté l’ordonnance COVID-19 assurance- 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 5. En l’espèce, la recourante gère un restaurant qui a dû fermer le 16 mars 2020 en exécution de l’art. 6 de l’ordonnance 2 COVID-19. Ce n’est toutefois que le 2 avril 2020 qu’elle a déposé un préavis de RHT avec effet au 17 mars 2020. Comme cela ressort des considérants précités, jusqu’au 31 mai 2020, seul le délai de préavis de</w:t>
      </w:r>
    </w:p>
    <w:p>
      <w:r>
        <w:rPr>
          <w:b/>
        </w:rPr>
        <w:t>E. 10</w:t>
      </w:r>
    </w:p>
    <w:p>
      <w:r>
        <w:t>jours a été supprimé. Ainsi, la recourante avait droit à l’indemnité en cas de RHT dès le jour de sa demande à l’intimé, sans effet rétroactif. Dès lors qu’elle a communiqué son préavis de RHT par courriel du 2 avril 2020 à l’intimé, c’est à juste titre que ce dernier lui a octroyé l’indemnité en cas de RHT à compter de cette date seulement.</w:t>
      </w:r>
    </w:p>
    <w:p>
      <w:r>
        <w:t>A/1287/2020 - 5/5 - 6. Infondé, le recours doit être rejeté et la décision sur opposition confirmée. 7.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